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46" w:rsidRDefault="00DE0146" w:rsidP="00DE0146">
      <w:pPr>
        <w:overflowPunct w:val="0"/>
        <w:adjustRightInd w:val="0"/>
        <w:snapToGrid w:val="0"/>
        <w:spacing w:line="590" w:lineRule="exact"/>
        <w:rPr>
          <w:rFonts w:ascii="Times New Roman" w:eastAsia="方正仿宋_GBK" w:hAnsi="Times New Roman" w:cs="Times New Roman"/>
          <w:sz w:val="32"/>
          <w:szCs w:val="32"/>
          <w:lang w:bidi="ar"/>
        </w:rPr>
      </w:pPr>
      <w:r>
        <w:rPr>
          <w:rFonts w:ascii="Times New Roman" w:eastAsia="方正仿宋_GBK" w:hAnsi="Times New Roman" w:cs="Times New Roman" w:hint="eastAsia"/>
          <w:sz w:val="32"/>
          <w:szCs w:val="32"/>
          <w:lang w:bidi="ar"/>
        </w:rPr>
        <w:t>附件</w:t>
      </w:r>
      <w:r>
        <w:rPr>
          <w:rFonts w:ascii="Times New Roman" w:eastAsia="方正仿宋_GBK" w:hAnsi="Times New Roman" w:cs="Times New Roman" w:hint="eastAsia"/>
          <w:sz w:val="32"/>
          <w:szCs w:val="32"/>
          <w:lang w:bidi="ar"/>
        </w:rPr>
        <w:t>1</w:t>
      </w:r>
    </w:p>
    <w:p w:rsidR="00DE0146" w:rsidRDefault="00DE0146" w:rsidP="007B2185">
      <w:pPr>
        <w:overflowPunct w:val="0"/>
        <w:adjustRightInd w:val="0"/>
        <w:snapToGrid w:val="0"/>
        <w:spacing w:line="590" w:lineRule="exact"/>
        <w:jc w:val="center"/>
        <w:rPr>
          <w:rFonts w:ascii="方正小标宋_GBK" w:eastAsia="方正小标宋_GBK" w:hAnsi="Times New Roman" w:cs="Times New Roman"/>
          <w:sz w:val="44"/>
          <w:szCs w:val="44"/>
          <w:lang w:val="zh-CN"/>
        </w:rPr>
      </w:pPr>
      <w:bookmarkStart w:id="0" w:name="_GoBack"/>
      <w:r w:rsidRPr="007B2185">
        <w:rPr>
          <w:rFonts w:ascii="方正小标宋_GBK" w:eastAsia="方正小标宋_GBK" w:hAnsi="Times New Roman" w:cs="Times New Roman" w:hint="eastAsia"/>
          <w:sz w:val="44"/>
          <w:szCs w:val="44"/>
          <w:lang w:val="zh-CN"/>
        </w:rPr>
        <w:t>江苏省数据中心产业示范基地申报条件</w:t>
      </w:r>
      <w:bookmarkEnd w:id="0"/>
    </w:p>
    <w:p w:rsidR="007B2185" w:rsidRPr="007B2185" w:rsidRDefault="007B2185" w:rsidP="007B2185">
      <w:pPr>
        <w:overflowPunct w:val="0"/>
        <w:adjustRightInd w:val="0"/>
        <w:snapToGrid w:val="0"/>
        <w:spacing w:line="590" w:lineRule="exact"/>
        <w:jc w:val="center"/>
        <w:rPr>
          <w:rFonts w:ascii="方正小标宋_GBK" w:eastAsia="方正小标宋_GBK" w:hAnsi="Times New Roman" w:cs="Times New Roman"/>
          <w:sz w:val="44"/>
          <w:szCs w:val="4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96"/>
        <w:gridCol w:w="580"/>
        <w:gridCol w:w="6491"/>
        <w:gridCol w:w="744"/>
      </w:tblGrid>
      <w:tr w:rsidR="00DE0146" w:rsidRPr="00DE0146" w:rsidTr="00E51E62">
        <w:trPr>
          <w:cantSplit/>
          <w:trHeight w:val="555"/>
          <w:tblHeader/>
          <w:jc w:val="center"/>
        </w:trPr>
        <w:tc>
          <w:tcPr>
            <w:tcW w:w="651" w:type="dxa"/>
            <w:vAlign w:val="center"/>
          </w:tcPr>
          <w:p w:rsidR="00DE0146" w:rsidRPr="00DE0146" w:rsidRDefault="00DE0146" w:rsidP="007B2185">
            <w:pPr>
              <w:widowControl/>
              <w:spacing w:line="320" w:lineRule="exact"/>
              <w:jc w:val="center"/>
              <w:textAlignment w:val="center"/>
              <w:rPr>
                <w:rFonts w:ascii="仿宋_GB2312" w:hAnsi="宋体" w:cs="Times New Roman"/>
                <w:b/>
                <w:bCs/>
                <w:sz w:val="18"/>
                <w:szCs w:val="18"/>
              </w:rPr>
            </w:pPr>
            <w:r w:rsidRPr="00DE0146">
              <w:rPr>
                <w:rFonts w:ascii="仿宋_GB2312" w:hAnsi="宋体" w:cs="Times New Roman"/>
                <w:b/>
                <w:bCs/>
                <w:kern w:val="0"/>
                <w:sz w:val="18"/>
                <w:szCs w:val="18"/>
              </w:rPr>
              <w:t>序号</w:t>
            </w:r>
          </w:p>
        </w:tc>
        <w:tc>
          <w:tcPr>
            <w:tcW w:w="998" w:type="dxa"/>
            <w:gridSpan w:val="2"/>
            <w:vAlign w:val="center"/>
          </w:tcPr>
          <w:p w:rsidR="00DE0146" w:rsidRPr="00DE0146" w:rsidRDefault="00DE0146" w:rsidP="007B2185">
            <w:pPr>
              <w:widowControl/>
              <w:spacing w:line="320" w:lineRule="exact"/>
              <w:jc w:val="center"/>
              <w:textAlignment w:val="center"/>
              <w:rPr>
                <w:rFonts w:ascii="仿宋_GB2312" w:hAnsi="宋体" w:cs="Times New Roman"/>
                <w:b/>
                <w:bCs/>
                <w:sz w:val="18"/>
                <w:szCs w:val="18"/>
              </w:rPr>
            </w:pPr>
            <w:r w:rsidRPr="00DE0146">
              <w:rPr>
                <w:rFonts w:ascii="仿宋_GB2312" w:hAnsi="宋体" w:cs="Times New Roman"/>
                <w:b/>
                <w:bCs/>
                <w:kern w:val="0"/>
                <w:sz w:val="18"/>
                <w:szCs w:val="18"/>
              </w:rPr>
              <w:t>评估指标</w:t>
            </w:r>
          </w:p>
        </w:tc>
        <w:tc>
          <w:tcPr>
            <w:tcW w:w="7127" w:type="dxa"/>
            <w:vAlign w:val="center"/>
          </w:tcPr>
          <w:p w:rsidR="00DE0146" w:rsidRPr="00DE0146" w:rsidRDefault="00DE0146" w:rsidP="007B2185">
            <w:pPr>
              <w:widowControl/>
              <w:spacing w:line="320" w:lineRule="exact"/>
              <w:jc w:val="center"/>
              <w:textAlignment w:val="center"/>
              <w:rPr>
                <w:rFonts w:ascii="仿宋_GB2312" w:hAnsi="宋体" w:cs="Times New Roman"/>
                <w:b/>
                <w:bCs/>
                <w:sz w:val="18"/>
                <w:szCs w:val="18"/>
              </w:rPr>
            </w:pPr>
            <w:r w:rsidRPr="00DE0146">
              <w:rPr>
                <w:rFonts w:ascii="仿宋_GB2312" w:hAnsi="宋体" w:cs="Times New Roman"/>
                <w:b/>
                <w:bCs/>
                <w:kern w:val="0"/>
                <w:sz w:val="18"/>
                <w:szCs w:val="18"/>
              </w:rPr>
              <w:t>主要内容</w:t>
            </w:r>
          </w:p>
        </w:tc>
        <w:tc>
          <w:tcPr>
            <w:tcW w:w="0" w:type="auto"/>
            <w:vAlign w:val="center"/>
          </w:tcPr>
          <w:p w:rsidR="00DE0146" w:rsidRPr="00DE0146" w:rsidRDefault="00DE0146" w:rsidP="007B2185">
            <w:pPr>
              <w:widowControl/>
              <w:spacing w:line="320" w:lineRule="exact"/>
              <w:jc w:val="center"/>
              <w:textAlignment w:val="center"/>
              <w:rPr>
                <w:rFonts w:ascii="仿宋_GB2312" w:hAnsi="宋体" w:cs="Times New Roman"/>
                <w:b/>
                <w:bCs/>
                <w:kern w:val="0"/>
                <w:sz w:val="18"/>
                <w:szCs w:val="18"/>
              </w:rPr>
            </w:pPr>
            <w:r w:rsidRPr="00DE0146">
              <w:rPr>
                <w:rFonts w:ascii="仿宋_GB2312" w:hAnsi="宋体" w:cs="Times New Roman"/>
                <w:b/>
                <w:bCs/>
                <w:kern w:val="0"/>
                <w:sz w:val="18"/>
                <w:szCs w:val="18"/>
              </w:rPr>
              <w:t>指标</w:t>
            </w:r>
          </w:p>
          <w:p w:rsidR="00DE0146" w:rsidRPr="00DE0146" w:rsidRDefault="00DE0146" w:rsidP="007B2185">
            <w:pPr>
              <w:widowControl/>
              <w:spacing w:line="320" w:lineRule="exact"/>
              <w:jc w:val="center"/>
              <w:textAlignment w:val="center"/>
              <w:rPr>
                <w:rFonts w:ascii="仿宋_GB2312" w:hAnsi="宋体" w:cs="Times New Roman"/>
                <w:b/>
                <w:bCs/>
                <w:sz w:val="18"/>
                <w:szCs w:val="18"/>
              </w:rPr>
            </w:pPr>
            <w:r w:rsidRPr="00DE0146">
              <w:rPr>
                <w:rFonts w:ascii="仿宋_GB2312" w:hAnsi="宋体" w:cs="Times New Roman"/>
                <w:b/>
                <w:bCs/>
                <w:kern w:val="0"/>
                <w:sz w:val="18"/>
                <w:szCs w:val="18"/>
              </w:rPr>
              <w:t>性质</w:t>
            </w:r>
          </w:p>
        </w:tc>
      </w:tr>
      <w:tr w:rsidR="00DE0146" w:rsidRPr="00DE0146" w:rsidTr="00E51E62">
        <w:trPr>
          <w:cantSplit/>
          <w:trHeight w:val="28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w:t>
            </w:r>
          </w:p>
        </w:tc>
        <w:tc>
          <w:tcPr>
            <w:tcW w:w="998" w:type="dxa"/>
            <w:gridSpan w:val="2"/>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组织与保障机制</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符合国家有关法律和产业政策的规定</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2</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园区所在地市或县（市）政府将数据中心及大数据产业发展纳入本地区中长期发展规划和年度重点任务，对推动数据中心及大数据产业的发展有清晰定位和明确目标</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E51E62">
        <w:trPr>
          <w:cantSplit/>
          <w:trHeight w:val="82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3</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园区有数据中心或大数据产业规划、计划和配套推进机制，发展目标明确、定位清晰，有稳定常态化的领导机制和工作机构、可操作的资金配套方案与企业引进、培育计划等，建设进度安排合理</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4</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园区制定了促进产融合作的相关政策，推动优秀数据中心项目参与不动产投资信托基金（</w:t>
            </w:r>
            <w:r w:rsidRPr="00DE0146">
              <w:rPr>
                <w:rFonts w:ascii="仿宋_GB2312" w:hAnsi="宋体" w:cs="Times New Roman"/>
                <w:kern w:val="0"/>
                <w:sz w:val="18"/>
                <w:szCs w:val="18"/>
              </w:rPr>
              <w:t>REITs</w:t>
            </w:r>
            <w:r w:rsidRPr="00DE0146">
              <w:rPr>
                <w:rFonts w:ascii="仿宋_GB2312" w:hAnsi="宋体" w:cs="Times New Roman"/>
                <w:kern w:val="0"/>
                <w:sz w:val="18"/>
                <w:szCs w:val="18"/>
              </w:rPr>
              <w:t>）等投融资，创新了金融支持方式</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5</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园区制定了促进产业发展的相关资源配套规划政策，在当地能充分盘活现有资源，有效利用传统企业去产能腾退出的电力和厂房</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r w:rsidR="00DE0146" w:rsidRPr="00DE0146" w:rsidTr="00E51E62">
        <w:trPr>
          <w:cantSplit/>
          <w:trHeight w:val="82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6</w:t>
            </w:r>
          </w:p>
        </w:tc>
        <w:tc>
          <w:tcPr>
            <w:tcW w:w="998" w:type="dxa"/>
            <w:gridSpan w:val="2"/>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产业集聚</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kern w:val="0"/>
                <w:sz w:val="18"/>
                <w:szCs w:val="18"/>
              </w:rPr>
              <w:t>数据中心相关产业集聚效应明显，园区内数据中心产业链配套较为齐全，入驻数据中心产业链上下游企业（含上游的软硬件厂商、下游的各行业及领域应用企业等）超过</w:t>
            </w:r>
            <w:r w:rsidRPr="00DE0146">
              <w:rPr>
                <w:rFonts w:ascii="仿宋_GB2312" w:hAnsi="宋体" w:cs="Times New Roman" w:hint="eastAsia"/>
                <w:kern w:val="0"/>
                <w:sz w:val="18"/>
                <w:szCs w:val="18"/>
              </w:rPr>
              <w:t>20</w:t>
            </w:r>
            <w:r w:rsidRPr="00DE0146">
              <w:rPr>
                <w:rFonts w:ascii="仿宋_GB2312" w:hAnsi="宋体" w:cs="Times New Roman" w:hint="eastAsia"/>
                <w:kern w:val="0"/>
                <w:sz w:val="18"/>
                <w:szCs w:val="18"/>
              </w:rPr>
              <w:t>家。</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7B2185">
        <w:trPr>
          <w:cantSplit/>
          <w:trHeight w:val="629"/>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7</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kern w:val="0"/>
                <w:sz w:val="18"/>
                <w:szCs w:val="18"/>
              </w:rPr>
              <w:t>园区集约化发展成</w:t>
            </w:r>
            <w:r w:rsidRPr="00DE0146">
              <w:rPr>
                <w:rFonts w:ascii="仿宋_GB2312" w:hAnsi="宋体" w:cs="Times New Roman"/>
                <w:kern w:val="0"/>
                <w:sz w:val="18"/>
                <w:szCs w:val="18"/>
              </w:rPr>
              <w:t>效</w:t>
            </w:r>
            <w:r w:rsidRPr="00DE0146">
              <w:rPr>
                <w:rFonts w:ascii="仿宋_GB2312" w:hAnsi="宋体" w:cs="Times New Roman" w:hint="eastAsia"/>
                <w:kern w:val="0"/>
                <w:sz w:val="18"/>
                <w:szCs w:val="18"/>
              </w:rPr>
              <w:t>显著，亩均效益较为突出，园区项目年亩均纳税达到所在地级市当年平均值。</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7B2185">
        <w:trPr>
          <w:cantSplit/>
          <w:trHeight w:val="979"/>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8</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kern w:val="0"/>
                <w:sz w:val="18"/>
                <w:szCs w:val="18"/>
              </w:rPr>
              <w:t>园区内数据中心产业核心业务收入达到</w:t>
            </w:r>
            <w:r w:rsidRPr="00DE0146">
              <w:rPr>
                <w:rFonts w:ascii="仿宋_GB2312" w:hAnsi="宋体" w:cs="Times New Roman" w:hint="eastAsia"/>
                <w:kern w:val="0"/>
                <w:sz w:val="18"/>
                <w:szCs w:val="18"/>
              </w:rPr>
              <w:t>5000</w:t>
            </w:r>
            <w:r w:rsidRPr="00DE0146">
              <w:rPr>
                <w:rFonts w:ascii="仿宋_GB2312" w:hAnsi="宋体" w:cs="Times New Roman" w:hint="eastAsia"/>
                <w:kern w:val="0"/>
                <w:sz w:val="18"/>
                <w:szCs w:val="18"/>
              </w:rPr>
              <w:t>万元以上的企业不少于</w:t>
            </w:r>
            <w:r w:rsidRPr="00DE0146">
              <w:rPr>
                <w:rFonts w:ascii="仿宋_GB2312" w:hAnsi="宋体" w:cs="Times New Roman" w:hint="eastAsia"/>
                <w:kern w:val="0"/>
                <w:sz w:val="18"/>
                <w:szCs w:val="18"/>
              </w:rPr>
              <w:t>3</w:t>
            </w:r>
            <w:r w:rsidRPr="00DE0146">
              <w:rPr>
                <w:rFonts w:ascii="仿宋_GB2312" w:hAnsi="宋体" w:cs="Times New Roman" w:hint="eastAsia"/>
                <w:kern w:val="0"/>
                <w:sz w:val="18"/>
                <w:szCs w:val="18"/>
              </w:rPr>
              <w:t>家，且至少包含</w:t>
            </w:r>
            <w:r w:rsidRPr="00DE0146">
              <w:rPr>
                <w:rFonts w:ascii="仿宋_GB2312" w:hAnsi="宋体" w:cs="Times New Roman" w:hint="eastAsia"/>
                <w:kern w:val="0"/>
                <w:sz w:val="18"/>
                <w:szCs w:val="18"/>
              </w:rPr>
              <w:t>1</w:t>
            </w:r>
            <w:r w:rsidRPr="00DE0146">
              <w:rPr>
                <w:rFonts w:ascii="仿宋_GB2312" w:hAnsi="宋体" w:cs="Times New Roman" w:hint="eastAsia"/>
                <w:kern w:val="0"/>
                <w:sz w:val="18"/>
                <w:szCs w:val="18"/>
              </w:rPr>
              <w:t>家芯片、操作系统、服务器、存储、网络、制冷等技术研发和生产制造企业；云计算、大数据、人工智能等企业不少于</w:t>
            </w:r>
            <w:r w:rsidRPr="00DE0146">
              <w:rPr>
                <w:rFonts w:ascii="仿宋_GB2312" w:hAnsi="宋体" w:cs="Times New Roman" w:hint="eastAsia"/>
                <w:kern w:val="0"/>
                <w:sz w:val="18"/>
                <w:szCs w:val="18"/>
              </w:rPr>
              <w:t>10</w:t>
            </w:r>
            <w:r w:rsidRPr="00DE0146">
              <w:rPr>
                <w:rFonts w:ascii="仿宋_GB2312" w:hAnsi="宋体" w:cs="Times New Roman" w:hint="eastAsia"/>
                <w:kern w:val="0"/>
                <w:sz w:val="18"/>
                <w:szCs w:val="18"/>
              </w:rPr>
              <w:t>家。</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7B2185">
        <w:trPr>
          <w:cantSplit/>
          <w:trHeight w:val="69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9</w:t>
            </w:r>
          </w:p>
        </w:tc>
        <w:tc>
          <w:tcPr>
            <w:tcW w:w="396" w:type="dxa"/>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应用服务</w:t>
            </w:r>
          </w:p>
        </w:tc>
        <w:tc>
          <w:tcPr>
            <w:tcW w:w="602"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服务</w:t>
            </w:r>
            <w:r w:rsidRPr="00DE0146">
              <w:rPr>
                <w:rFonts w:ascii="仿宋_GB2312" w:hAnsi="宋体" w:cs="Times New Roman" w:hint="eastAsia"/>
                <w:kern w:val="0"/>
                <w:sz w:val="18"/>
                <w:szCs w:val="18"/>
              </w:rPr>
              <w:t>范围</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园区应面向江苏省高质量发展的需要，为数字产业、智能升级、融合创新等提供应用服务，支撑金融、智能制造、政务、教育、交通等重点行业数字化转型成效显著</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DE0146">
        <w:trPr>
          <w:cantSplit/>
          <w:trHeight w:val="952"/>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10</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服务能力</w:t>
            </w:r>
          </w:p>
        </w:tc>
        <w:tc>
          <w:tcPr>
            <w:tcW w:w="7127" w:type="dxa"/>
            <w:vAlign w:val="center"/>
          </w:tcPr>
          <w:p w:rsidR="00DE0146" w:rsidRPr="00DE0146" w:rsidRDefault="00DE0146" w:rsidP="007B2185">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sz w:val="18"/>
                <w:szCs w:val="18"/>
              </w:rPr>
              <w:t>园区内含可提供多种类型服务的数据中心，包括但不限于云数据中心、边缘数据中心、智能计算中心等。</w:t>
            </w:r>
            <w:r w:rsidR="007B2185" w:rsidRPr="007B2185">
              <w:rPr>
                <w:rFonts w:ascii="仿宋_GB2312" w:hAnsi="宋体" w:cs="Times New Roman" w:hint="eastAsia"/>
                <w:sz w:val="18"/>
                <w:szCs w:val="18"/>
              </w:rPr>
              <w:t>云数据中心应具备计算、存储及网络资源虚拟化能力，能进行灵活调度和统一管理并按需提供各类云服务，实现动态资源按需调配。边缘数据中心应靠近用户侧，实现对边缘数据计算、存储和转发等功能，具有支撑极低时延需求的业务应用。单体规模不超过</w:t>
            </w:r>
            <w:r w:rsidR="007B2185" w:rsidRPr="007B2185">
              <w:rPr>
                <w:rFonts w:ascii="仿宋_GB2312" w:hAnsi="宋体" w:cs="Times New Roman" w:hint="eastAsia"/>
                <w:sz w:val="18"/>
                <w:szCs w:val="18"/>
              </w:rPr>
              <w:t>100</w:t>
            </w:r>
            <w:r w:rsidR="007B2185" w:rsidRPr="007B2185">
              <w:rPr>
                <w:rFonts w:ascii="仿宋_GB2312" w:hAnsi="宋体" w:cs="Times New Roman" w:hint="eastAsia"/>
                <w:sz w:val="18"/>
                <w:szCs w:val="18"/>
              </w:rPr>
              <w:t>个标准机架。园区内智能计算中心应基于</w:t>
            </w:r>
            <w:r w:rsidR="007B2185" w:rsidRPr="007B2185">
              <w:rPr>
                <w:rFonts w:ascii="仿宋_GB2312" w:hAnsi="宋体" w:cs="Times New Roman" w:hint="eastAsia"/>
                <w:sz w:val="18"/>
                <w:szCs w:val="18"/>
              </w:rPr>
              <w:t>GPU</w:t>
            </w:r>
            <w:r w:rsidR="007B2185" w:rsidRPr="007B2185">
              <w:rPr>
                <w:rFonts w:ascii="仿宋_GB2312" w:hAnsi="宋体" w:cs="Times New Roman" w:hint="eastAsia"/>
                <w:sz w:val="18"/>
                <w:szCs w:val="18"/>
              </w:rPr>
              <w:t>、</w:t>
            </w:r>
            <w:r w:rsidR="007B2185" w:rsidRPr="007B2185">
              <w:rPr>
                <w:rFonts w:ascii="仿宋_GB2312" w:hAnsi="宋体" w:cs="Times New Roman" w:hint="eastAsia"/>
                <w:sz w:val="18"/>
                <w:szCs w:val="18"/>
              </w:rPr>
              <w:t xml:space="preserve">FPGA </w:t>
            </w:r>
            <w:r w:rsidR="007B2185" w:rsidRPr="007B2185">
              <w:rPr>
                <w:rFonts w:ascii="仿宋_GB2312" w:hAnsi="宋体" w:cs="Times New Roman" w:hint="eastAsia"/>
                <w:sz w:val="18"/>
                <w:szCs w:val="18"/>
              </w:rPr>
              <w:t>等芯片构建智能计算服务器集群，提供智能算力，支撑多模态数据挖掘，智能化业务高性能计算、海量数据分布式存储调度、人工智能模型开发、模型训练和推理服务等场景。</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约束性</w:t>
            </w:r>
          </w:p>
        </w:tc>
      </w:tr>
      <w:tr w:rsidR="00DE0146" w:rsidRPr="00DE0146" w:rsidTr="00E51E62">
        <w:trPr>
          <w:cantSplit/>
          <w:trHeight w:val="579"/>
          <w:jc w:val="center"/>
        </w:trPr>
        <w:tc>
          <w:tcPr>
            <w:tcW w:w="651" w:type="dxa"/>
            <w:vAlign w:val="center"/>
          </w:tcPr>
          <w:p w:rsidR="00DE0146" w:rsidRPr="00DE0146" w:rsidRDefault="00DE0146" w:rsidP="00DE0146">
            <w:pPr>
              <w:widowControl/>
              <w:jc w:val="center"/>
              <w:textAlignment w:val="center"/>
              <w:rPr>
                <w:rFonts w:ascii="仿宋_GB2312" w:hAnsi="仿宋_GB2312" w:cs="Times New Roman"/>
                <w:kern w:val="0"/>
                <w:sz w:val="18"/>
                <w:szCs w:val="18"/>
              </w:rPr>
            </w:pPr>
            <w:r w:rsidRPr="00DE0146">
              <w:rPr>
                <w:rFonts w:ascii="仿宋_GB2312" w:hAnsi="仿宋_GB2312" w:cs="Times New Roman" w:hint="eastAsia"/>
                <w:kern w:val="0"/>
                <w:sz w:val="18"/>
                <w:szCs w:val="18"/>
              </w:rPr>
              <w:lastRenderedPageBreak/>
              <w:t>11</w:t>
            </w:r>
          </w:p>
        </w:tc>
        <w:tc>
          <w:tcPr>
            <w:tcW w:w="396" w:type="dxa"/>
            <w:vMerge w:val="restart"/>
            <w:vAlign w:val="center"/>
          </w:tcPr>
          <w:p w:rsidR="00DE0146" w:rsidRPr="00DE0146" w:rsidRDefault="00DE0146" w:rsidP="00DE0146">
            <w:pPr>
              <w:jc w:val="center"/>
              <w:textAlignment w:val="center"/>
              <w:rPr>
                <w:rFonts w:ascii="仿宋_GB2312" w:hAnsi="宋体" w:cs="Times New Roman"/>
                <w:kern w:val="0"/>
                <w:sz w:val="18"/>
                <w:szCs w:val="18"/>
              </w:rPr>
            </w:pPr>
          </w:p>
          <w:p w:rsidR="00DE0146" w:rsidRPr="00DE0146" w:rsidRDefault="00DE0146" w:rsidP="00DE0146">
            <w:pPr>
              <w:jc w:val="center"/>
              <w:textAlignment w:val="center"/>
              <w:rPr>
                <w:rFonts w:ascii="仿宋_GB2312" w:hAnsi="宋体" w:cs="Times New Roman"/>
                <w:kern w:val="0"/>
                <w:sz w:val="18"/>
                <w:szCs w:val="18"/>
              </w:rPr>
            </w:pPr>
          </w:p>
          <w:p w:rsidR="00DE0146" w:rsidRPr="00DE0146" w:rsidRDefault="00DE0146" w:rsidP="00DE0146">
            <w:pPr>
              <w:jc w:val="center"/>
              <w:textAlignment w:val="center"/>
              <w:rPr>
                <w:rFonts w:ascii="仿宋_GB2312" w:hAnsi="宋体" w:cs="Times New Roman"/>
                <w:kern w:val="0"/>
                <w:sz w:val="18"/>
                <w:szCs w:val="18"/>
              </w:rPr>
            </w:pPr>
            <w:r w:rsidRPr="00DE0146">
              <w:rPr>
                <w:rFonts w:ascii="仿宋_GB2312" w:hAnsi="宋体" w:cs="Times New Roman"/>
                <w:kern w:val="0"/>
                <w:sz w:val="18"/>
                <w:szCs w:val="18"/>
              </w:rPr>
              <w:t>高质量发展</w:t>
            </w:r>
          </w:p>
        </w:tc>
        <w:tc>
          <w:tcPr>
            <w:tcW w:w="602" w:type="dxa"/>
            <w:vAlign w:val="center"/>
          </w:tcPr>
          <w:p w:rsidR="00DE0146" w:rsidRPr="00DE0146" w:rsidRDefault="00DE0146" w:rsidP="00DE0146">
            <w:pPr>
              <w:widowControl/>
              <w:jc w:val="center"/>
              <w:textAlignment w:val="center"/>
              <w:rPr>
                <w:rFonts w:ascii="仿宋_GB2312" w:hAnsi="宋体" w:cs="Times New Roman"/>
                <w:kern w:val="0"/>
                <w:sz w:val="18"/>
                <w:szCs w:val="18"/>
              </w:rPr>
            </w:pPr>
            <w:r w:rsidRPr="00DE0146">
              <w:rPr>
                <w:rFonts w:ascii="仿宋_GB2312" w:hAnsi="宋体" w:cs="Times New Roman" w:hint="eastAsia"/>
                <w:kern w:val="0"/>
                <w:sz w:val="18"/>
                <w:szCs w:val="18"/>
              </w:rPr>
              <w:t>网络</w:t>
            </w:r>
            <w:r w:rsidRPr="00DE0146">
              <w:rPr>
                <w:rFonts w:ascii="仿宋_GB2312" w:hAnsi="宋体" w:cs="Times New Roman"/>
                <w:kern w:val="0"/>
                <w:sz w:val="18"/>
                <w:szCs w:val="18"/>
              </w:rPr>
              <w:t>环境</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kern w:val="0"/>
                <w:sz w:val="18"/>
                <w:szCs w:val="18"/>
              </w:rPr>
            </w:pPr>
            <w:r w:rsidRPr="00DE0146">
              <w:rPr>
                <w:rFonts w:ascii="仿宋_GB2312" w:hAnsi="宋体" w:cs="Times New Roman" w:hint="eastAsia"/>
                <w:kern w:val="0"/>
                <w:sz w:val="18"/>
                <w:szCs w:val="18"/>
              </w:rPr>
              <w:t>园区数据</w:t>
            </w:r>
            <w:r w:rsidRPr="00DE0146">
              <w:rPr>
                <w:rFonts w:ascii="仿宋_GB2312" w:hAnsi="宋体" w:cs="Times New Roman"/>
                <w:kern w:val="0"/>
                <w:sz w:val="18"/>
                <w:szCs w:val="18"/>
              </w:rPr>
              <w:t>中心</w:t>
            </w:r>
            <w:r w:rsidRPr="00DE0146">
              <w:rPr>
                <w:rFonts w:ascii="仿宋_GB2312" w:hAnsi="宋体" w:cs="Times New Roman" w:hint="eastAsia"/>
                <w:kern w:val="0"/>
                <w:sz w:val="18"/>
                <w:szCs w:val="18"/>
              </w:rPr>
              <w:t>网络接入能力能够达到平均每机架</w:t>
            </w:r>
            <w:r w:rsidRPr="00DE0146">
              <w:rPr>
                <w:rFonts w:ascii="仿宋_GB2312" w:hAnsi="宋体" w:cs="Times New Roman" w:hint="eastAsia"/>
                <w:kern w:val="0"/>
                <w:sz w:val="18"/>
                <w:szCs w:val="18"/>
              </w:rPr>
              <w:t>200Mbps</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kern w:val="0"/>
                <w:sz w:val="18"/>
                <w:szCs w:val="18"/>
              </w:rPr>
            </w:pPr>
            <w:r w:rsidRPr="00DE0146">
              <w:rPr>
                <w:rFonts w:ascii="仿宋_GB2312" w:hAnsi="宋体" w:cs="Times New Roman" w:hint="eastAsia"/>
                <w:kern w:val="0"/>
                <w:sz w:val="18"/>
                <w:szCs w:val="18"/>
              </w:rPr>
              <w:t>约束性</w:t>
            </w:r>
          </w:p>
        </w:tc>
      </w:tr>
      <w:tr w:rsidR="00DE0146" w:rsidRPr="00DE0146" w:rsidTr="00E51E62">
        <w:trPr>
          <w:cantSplit/>
          <w:trHeight w:val="387"/>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12</w:t>
            </w:r>
          </w:p>
        </w:tc>
        <w:tc>
          <w:tcPr>
            <w:tcW w:w="396" w:type="dxa"/>
            <w:vMerge/>
            <w:vAlign w:val="center"/>
          </w:tcPr>
          <w:p w:rsidR="00DE0146" w:rsidRPr="00DE0146" w:rsidRDefault="00DE0146" w:rsidP="00DE0146">
            <w:pPr>
              <w:widowControl/>
              <w:jc w:val="center"/>
              <w:textAlignment w:val="center"/>
              <w:rPr>
                <w:rFonts w:ascii="仿宋_GB2312" w:hAnsi="宋体" w:cs="Times New Roman"/>
                <w:sz w:val="18"/>
                <w:szCs w:val="18"/>
              </w:rPr>
            </w:pPr>
          </w:p>
        </w:tc>
        <w:tc>
          <w:tcPr>
            <w:tcW w:w="602" w:type="dxa"/>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算力算效</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园区内数据中心高密化建设，单机架功率</w:t>
            </w:r>
            <w:r w:rsidRPr="00DE0146">
              <w:rPr>
                <w:rFonts w:ascii="仿宋_GB2312" w:hAnsi="宋体" w:cs="Times New Roman" w:hint="eastAsia"/>
                <w:kern w:val="0"/>
                <w:sz w:val="18"/>
                <w:szCs w:val="18"/>
              </w:rPr>
              <w:t>密度</w:t>
            </w:r>
            <w:r w:rsidRPr="00DE0146">
              <w:rPr>
                <w:rFonts w:ascii="仿宋_GB2312" w:hAnsi="宋体" w:cs="Times New Roman"/>
                <w:kern w:val="0"/>
                <w:sz w:val="18"/>
                <w:szCs w:val="18"/>
              </w:rPr>
              <w:t>达到较高水平</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E51E62">
        <w:trPr>
          <w:cantSplit/>
          <w:trHeight w:val="28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13</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数据中心单机架算效（总算力</w:t>
            </w:r>
            <w:r w:rsidRPr="00DE0146">
              <w:rPr>
                <w:rFonts w:ascii="仿宋_GB2312" w:hAnsi="宋体" w:cs="Times New Roman"/>
                <w:kern w:val="0"/>
                <w:sz w:val="18"/>
                <w:szCs w:val="18"/>
              </w:rPr>
              <w:t>/IT</w:t>
            </w:r>
            <w:r w:rsidRPr="00DE0146">
              <w:rPr>
                <w:rFonts w:ascii="仿宋_GB2312" w:hAnsi="宋体" w:cs="Times New Roman"/>
                <w:kern w:val="0"/>
                <w:sz w:val="18"/>
                <w:szCs w:val="18"/>
              </w:rPr>
              <w:t>设备的总功耗）不低于</w:t>
            </w:r>
            <w:r w:rsidRPr="00DE0146">
              <w:rPr>
                <w:rFonts w:ascii="仿宋_GB2312" w:hAnsi="宋体" w:cs="Times New Roman"/>
                <w:kern w:val="0"/>
                <w:sz w:val="18"/>
                <w:szCs w:val="18"/>
              </w:rPr>
              <w:t>10 GFLOPS/W</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14</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绿色低碳</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园区内数据中心具备低碳发展战略，可高效利用清洁、可再生能源，低碳等级不低于</w:t>
            </w:r>
            <w:r w:rsidRPr="00DE0146">
              <w:rPr>
                <w:rFonts w:ascii="仿宋_GB2312" w:hAnsi="宋体" w:cs="Times New Roman"/>
                <w:kern w:val="0"/>
                <w:sz w:val="18"/>
                <w:szCs w:val="18"/>
              </w:rPr>
              <w:t>3A</w:t>
            </w:r>
            <w:r w:rsidRPr="00DE0146">
              <w:rPr>
                <w:rFonts w:ascii="仿宋_GB2312" w:hAnsi="宋体" w:cs="Times New Roman"/>
                <w:kern w:val="0"/>
                <w:sz w:val="18"/>
                <w:szCs w:val="18"/>
              </w:rPr>
              <w:t>级</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15</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园区内数据中心绿色等级不低于</w:t>
            </w:r>
            <w:r w:rsidRPr="00DE0146">
              <w:rPr>
                <w:rFonts w:ascii="仿宋_GB2312" w:hAnsi="宋体" w:cs="Times New Roman"/>
                <w:kern w:val="0"/>
                <w:sz w:val="18"/>
                <w:szCs w:val="18"/>
              </w:rPr>
              <w:t>4A</w:t>
            </w:r>
            <w:r w:rsidRPr="00DE0146">
              <w:rPr>
                <w:rFonts w:ascii="仿宋_GB2312" w:hAnsi="宋体" w:cs="Times New Roman"/>
                <w:kern w:val="0"/>
                <w:sz w:val="18"/>
                <w:szCs w:val="18"/>
              </w:rPr>
              <w:t>级，大型及以上数据中心运行</w:t>
            </w:r>
            <w:r w:rsidRPr="00DE0146">
              <w:rPr>
                <w:rFonts w:ascii="仿宋_GB2312" w:hAnsi="宋体" w:cs="Times New Roman"/>
                <w:kern w:val="0"/>
                <w:sz w:val="18"/>
                <w:szCs w:val="18"/>
              </w:rPr>
              <w:t>PUE</w:t>
            </w:r>
            <w:r w:rsidRPr="00DE0146">
              <w:rPr>
                <w:rFonts w:ascii="仿宋_GB2312" w:hAnsi="宋体" w:cs="Times New Roman"/>
                <w:kern w:val="0"/>
                <w:sz w:val="18"/>
                <w:szCs w:val="18"/>
              </w:rPr>
              <w:t>不高于</w:t>
            </w:r>
            <w:r w:rsidRPr="00DE0146">
              <w:rPr>
                <w:rFonts w:ascii="仿宋_GB2312" w:hAnsi="宋体" w:cs="Times New Roman"/>
                <w:kern w:val="0"/>
                <w:sz w:val="18"/>
                <w:szCs w:val="18"/>
              </w:rPr>
              <w:t>1.3</w:t>
            </w:r>
            <w:r w:rsidRPr="00DE0146">
              <w:rPr>
                <w:rFonts w:ascii="仿宋_GB2312" w:hAnsi="宋体" w:cs="Times New Roman"/>
                <w:kern w:val="0"/>
                <w:sz w:val="18"/>
                <w:szCs w:val="18"/>
              </w:rPr>
              <w:t>，中小型数据中心（含边缘数据中心）运行</w:t>
            </w:r>
            <w:r w:rsidRPr="00DE0146">
              <w:rPr>
                <w:rFonts w:ascii="仿宋_GB2312" w:hAnsi="宋体" w:cs="Times New Roman"/>
                <w:kern w:val="0"/>
                <w:sz w:val="18"/>
                <w:szCs w:val="18"/>
              </w:rPr>
              <w:t>PUE</w:t>
            </w:r>
            <w:r w:rsidRPr="00DE0146">
              <w:rPr>
                <w:rFonts w:ascii="仿宋_GB2312" w:hAnsi="宋体" w:cs="Times New Roman"/>
                <w:kern w:val="0"/>
                <w:sz w:val="18"/>
                <w:szCs w:val="18"/>
              </w:rPr>
              <w:t>不高于</w:t>
            </w:r>
            <w:r w:rsidRPr="00DE0146">
              <w:rPr>
                <w:rFonts w:ascii="仿宋_GB2312" w:hAnsi="宋体" w:cs="Times New Roman"/>
                <w:kern w:val="0"/>
                <w:sz w:val="18"/>
                <w:szCs w:val="18"/>
              </w:rPr>
              <w:t>1.5</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E51E62">
        <w:trPr>
          <w:cantSplit/>
          <w:trHeight w:val="55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16</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restart"/>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产业链协作</w:t>
            </w: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kern w:val="0"/>
                <w:sz w:val="18"/>
                <w:szCs w:val="18"/>
              </w:rPr>
              <w:t>园区企业年均技术投入费用达到所在地级市高新企业当年平均值，在数据中心预制化、液冷、定制化服务器、</w:t>
            </w:r>
            <w:r w:rsidRPr="00DE0146">
              <w:rPr>
                <w:rFonts w:ascii="仿宋_GB2312" w:hAnsi="宋体" w:cs="Times New Roman" w:hint="eastAsia"/>
                <w:kern w:val="0"/>
                <w:sz w:val="18"/>
                <w:szCs w:val="18"/>
              </w:rPr>
              <w:t>AI</w:t>
            </w:r>
            <w:r w:rsidRPr="00DE0146">
              <w:rPr>
                <w:rFonts w:ascii="仿宋_GB2312" w:hAnsi="宋体" w:cs="Times New Roman" w:hint="eastAsia"/>
                <w:kern w:val="0"/>
                <w:sz w:val="18"/>
                <w:szCs w:val="18"/>
              </w:rPr>
              <w:t>服务器、超融合网络等新技术研究和创新应用方面有一定成果。</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7B2185">
        <w:trPr>
          <w:cantSplit/>
          <w:trHeight w:val="957"/>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17</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hint="eastAsia"/>
                <w:sz w:val="18"/>
                <w:szCs w:val="18"/>
              </w:rPr>
              <w:t>园区有效进行机制体制创新，具有产学研用一体化平台，提供产业信息披露、供需对接服务。</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r w:rsidR="00DE0146" w:rsidRPr="00DE0146" w:rsidTr="007B2185">
        <w:trPr>
          <w:cantSplit/>
          <w:trHeight w:val="1140"/>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18</w:t>
            </w:r>
          </w:p>
        </w:tc>
        <w:tc>
          <w:tcPr>
            <w:tcW w:w="396" w:type="dxa"/>
            <w:vMerge/>
            <w:vAlign w:val="center"/>
          </w:tcPr>
          <w:p w:rsidR="00DE0146" w:rsidRPr="00DE0146" w:rsidRDefault="00DE0146" w:rsidP="00DE0146">
            <w:pPr>
              <w:widowControl/>
              <w:jc w:val="left"/>
              <w:rPr>
                <w:rFonts w:ascii="仿宋_GB2312" w:hAnsi="宋体" w:cs="Times New Roman"/>
                <w:sz w:val="18"/>
                <w:szCs w:val="18"/>
              </w:rPr>
            </w:pPr>
          </w:p>
        </w:tc>
        <w:tc>
          <w:tcPr>
            <w:tcW w:w="602" w:type="dxa"/>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园区内高校（基础研究）、科研机构（关键共性技术研发）和企业（应用技术开发）三者在共性技术研发合作中形成体系，园区企业积极参与行业标准研制</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r w:rsidR="00DE0146" w:rsidRPr="00DE0146" w:rsidTr="00E51E62">
        <w:trPr>
          <w:cantSplit/>
          <w:trHeight w:val="285"/>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19</w:t>
            </w:r>
          </w:p>
        </w:tc>
        <w:tc>
          <w:tcPr>
            <w:tcW w:w="998" w:type="dxa"/>
            <w:gridSpan w:val="2"/>
            <w:vMerge w:val="restart"/>
            <w:vAlign w:val="center"/>
          </w:tcPr>
          <w:p w:rsidR="00DE0146" w:rsidRPr="00DE0146" w:rsidRDefault="00DE0146" w:rsidP="00DE0146">
            <w:pPr>
              <w:widowControl/>
              <w:jc w:val="center"/>
              <w:textAlignment w:val="center"/>
              <w:rPr>
                <w:rFonts w:ascii="仿宋_GB2312" w:hAnsi="宋体" w:cs="Times New Roman"/>
                <w:kern w:val="0"/>
                <w:sz w:val="18"/>
                <w:szCs w:val="18"/>
              </w:rPr>
            </w:pPr>
            <w:r w:rsidRPr="00DE0146">
              <w:rPr>
                <w:rFonts w:ascii="仿宋_GB2312" w:hAnsi="宋体" w:cs="Times New Roman"/>
                <w:kern w:val="0"/>
                <w:sz w:val="18"/>
                <w:szCs w:val="18"/>
              </w:rPr>
              <w:t>安全</w:t>
            </w:r>
            <w:r w:rsidRPr="00DE0146">
              <w:rPr>
                <w:rFonts w:ascii="仿宋_GB2312" w:hAnsi="宋体" w:cs="Times New Roman" w:hint="eastAsia"/>
                <w:kern w:val="0"/>
                <w:sz w:val="18"/>
                <w:szCs w:val="18"/>
              </w:rPr>
              <w:t>与</w:t>
            </w:r>
          </w:p>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保障</w:t>
            </w:r>
          </w:p>
        </w:tc>
        <w:tc>
          <w:tcPr>
            <w:tcW w:w="7127" w:type="dxa"/>
            <w:vAlign w:val="center"/>
          </w:tcPr>
          <w:p w:rsidR="00DE0146" w:rsidRPr="00DE0146" w:rsidRDefault="00DE0146" w:rsidP="00DE0146">
            <w:pPr>
              <w:widowControl/>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园区内数据中心符合国家网络与信息安全的相关规定</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7B2185">
        <w:trPr>
          <w:cantSplit/>
          <w:trHeight w:val="953"/>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20</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园区内数据中心优先采用安全可靠软硬件产品，通过安全性、可靠性评估或认证，数据中心安全性及可靠性等级达到较高水平</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hint="eastAsia"/>
                <w:kern w:val="0"/>
                <w:sz w:val="18"/>
                <w:szCs w:val="18"/>
              </w:rPr>
              <w:t>约束性</w:t>
            </w:r>
          </w:p>
        </w:tc>
      </w:tr>
      <w:tr w:rsidR="00DE0146" w:rsidRPr="00DE0146" w:rsidTr="007B2185">
        <w:trPr>
          <w:cantSplit/>
          <w:trHeight w:val="981"/>
          <w:jc w:val="center"/>
        </w:trPr>
        <w:tc>
          <w:tcPr>
            <w:tcW w:w="651" w:type="dxa"/>
            <w:vAlign w:val="center"/>
          </w:tcPr>
          <w:p w:rsidR="00DE0146" w:rsidRPr="00DE0146" w:rsidRDefault="00DE0146" w:rsidP="00DE0146">
            <w:pPr>
              <w:widowControl/>
              <w:jc w:val="center"/>
              <w:textAlignment w:val="center"/>
              <w:rPr>
                <w:rFonts w:ascii="仿宋_GB2312" w:hAnsi="宋体" w:cs="Times New Roman"/>
                <w:kern w:val="0"/>
                <w:sz w:val="18"/>
                <w:szCs w:val="18"/>
              </w:rPr>
            </w:pPr>
            <w:r w:rsidRPr="00DE0146">
              <w:rPr>
                <w:rFonts w:ascii="仿宋_GB2312" w:hAnsi="仿宋_GB2312" w:cs="Times New Roman"/>
                <w:kern w:val="0"/>
                <w:sz w:val="18"/>
                <w:szCs w:val="18"/>
              </w:rPr>
              <w:t>21</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kern w:val="0"/>
                <w:sz w:val="18"/>
                <w:szCs w:val="18"/>
              </w:rPr>
            </w:pPr>
            <w:r w:rsidRPr="00DE0146">
              <w:rPr>
                <w:rFonts w:ascii="仿宋_GB2312" w:hAnsi="宋体" w:cs="Times New Roman"/>
                <w:kern w:val="0"/>
                <w:sz w:val="18"/>
                <w:szCs w:val="18"/>
              </w:rPr>
              <w:t>园区数据中心企业在岗运维人员取得数据中心运维工程师证书比例达到</w:t>
            </w:r>
            <w:r w:rsidRPr="00DE0146">
              <w:rPr>
                <w:rFonts w:ascii="仿宋_GB2312" w:hAnsi="宋体" w:cs="Times New Roman"/>
                <w:kern w:val="0"/>
                <w:sz w:val="18"/>
                <w:szCs w:val="18"/>
              </w:rPr>
              <w:t>20%</w:t>
            </w:r>
            <w:r w:rsidRPr="00DE0146">
              <w:rPr>
                <w:rFonts w:ascii="仿宋_GB2312" w:hAnsi="宋体" w:cs="Times New Roman"/>
                <w:kern w:val="0"/>
                <w:sz w:val="18"/>
                <w:szCs w:val="18"/>
              </w:rPr>
              <w:t>及以上</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kern w:val="0"/>
                <w:sz w:val="18"/>
                <w:szCs w:val="18"/>
              </w:rPr>
            </w:pPr>
            <w:r w:rsidRPr="00DE0146">
              <w:rPr>
                <w:rFonts w:ascii="仿宋_GB2312" w:hAnsi="宋体" w:cs="Times New Roman" w:hint="eastAsia"/>
                <w:kern w:val="0"/>
                <w:sz w:val="18"/>
                <w:szCs w:val="18"/>
              </w:rPr>
              <w:t>约束性</w:t>
            </w:r>
          </w:p>
        </w:tc>
      </w:tr>
      <w:tr w:rsidR="00DE0146" w:rsidRPr="00DE0146" w:rsidTr="007B2185">
        <w:trPr>
          <w:cantSplit/>
          <w:trHeight w:val="1278"/>
          <w:jc w:val="center"/>
        </w:trPr>
        <w:tc>
          <w:tcPr>
            <w:tcW w:w="651" w:type="dxa"/>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仿宋_GB2312" w:cs="Times New Roman"/>
                <w:kern w:val="0"/>
                <w:sz w:val="18"/>
                <w:szCs w:val="18"/>
              </w:rPr>
              <w:t>22</w:t>
            </w:r>
          </w:p>
        </w:tc>
        <w:tc>
          <w:tcPr>
            <w:tcW w:w="998" w:type="dxa"/>
            <w:gridSpan w:val="2"/>
            <w:vMerge/>
            <w:vAlign w:val="center"/>
          </w:tcPr>
          <w:p w:rsidR="00DE0146" w:rsidRPr="00DE0146" w:rsidRDefault="00DE0146" w:rsidP="00DE0146">
            <w:pPr>
              <w:widowControl/>
              <w:jc w:val="left"/>
              <w:rPr>
                <w:rFonts w:ascii="仿宋_GB2312" w:hAnsi="宋体" w:cs="Times New Roman"/>
                <w:sz w:val="18"/>
                <w:szCs w:val="18"/>
              </w:rPr>
            </w:pPr>
          </w:p>
        </w:tc>
        <w:tc>
          <w:tcPr>
            <w:tcW w:w="7127" w:type="dxa"/>
            <w:vAlign w:val="center"/>
          </w:tcPr>
          <w:p w:rsidR="00DE0146" w:rsidRPr="00DE0146" w:rsidRDefault="00DE0146" w:rsidP="00DE0146">
            <w:pPr>
              <w:widowControl/>
              <w:spacing w:line="320" w:lineRule="exact"/>
              <w:jc w:val="left"/>
              <w:textAlignment w:val="center"/>
              <w:rPr>
                <w:rFonts w:ascii="仿宋_GB2312" w:hAnsi="宋体" w:cs="Times New Roman"/>
                <w:sz w:val="18"/>
                <w:szCs w:val="18"/>
              </w:rPr>
            </w:pPr>
            <w:r w:rsidRPr="00DE0146">
              <w:rPr>
                <w:rFonts w:ascii="仿宋_GB2312" w:hAnsi="宋体" w:cs="Times New Roman"/>
                <w:kern w:val="0"/>
                <w:sz w:val="18"/>
                <w:szCs w:val="18"/>
              </w:rPr>
              <w:t>园区内数据中心通过服务能力相关评估，数据中心网络时延、抖动、丢包等通过第三方机构测评，满足相应业务需求</w:t>
            </w:r>
            <w:r w:rsidRPr="00DE0146">
              <w:rPr>
                <w:rFonts w:ascii="仿宋_GB2312" w:hAnsi="宋体" w:cs="Times New Roman" w:hint="eastAsia"/>
                <w:kern w:val="0"/>
                <w:sz w:val="18"/>
                <w:szCs w:val="18"/>
              </w:rPr>
              <w:t>。</w:t>
            </w:r>
          </w:p>
        </w:tc>
        <w:tc>
          <w:tcPr>
            <w:tcW w:w="0" w:type="auto"/>
            <w:noWrap/>
            <w:vAlign w:val="center"/>
          </w:tcPr>
          <w:p w:rsidR="00DE0146" w:rsidRPr="00DE0146" w:rsidRDefault="00DE0146" w:rsidP="00DE0146">
            <w:pPr>
              <w:widowControl/>
              <w:jc w:val="center"/>
              <w:textAlignment w:val="center"/>
              <w:rPr>
                <w:rFonts w:ascii="仿宋_GB2312" w:hAnsi="宋体" w:cs="Times New Roman"/>
                <w:sz w:val="18"/>
                <w:szCs w:val="18"/>
              </w:rPr>
            </w:pPr>
            <w:r w:rsidRPr="00DE0146">
              <w:rPr>
                <w:rFonts w:ascii="仿宋_GB2312" w:hAnsi="宋体" w:cs="Times New Roman"/>
                <w:kern w:val="0"/>
                <w:sz w:val="18"/>
                <w:szCs w:val="18"/>
              </w:rPr>
              <w:t>引导性</w:t>
            </w:r>
          </w:p>
        </w:tc>
      </w:tr>
    </w:tbl>
    <w:p w:rsidR="00DE0146" w:rsidRDefault="00DE0146" w:rsidP="00C246F6">
      <w:pPr>
        <w:overflowPunct w:val="0"/>
        <w:adjustRightInd w:val="0"/>
        <w:snapToGrid w:val="0"/>
        <w:spacing w:line="590" w:lineRule="exact"/>
        <w:ind w:firstLineChars="200" w:firstLine="632"/>
        <w:rPr>
          <w:rFonts w:ascii="Times New Roman" w:eastAsia="方正仿宋_GBK" w:hAnsi="Times New Roman" w:cs="Times New Roman"/>
          <w:sz w:val="32"/>
          <w:lang w:val="zh-CN"/>
        </w:rPr>
      </w:pPr>
    </w:p>
    <w:p w:rsidR="007B2185" w:rsidRDefault="007B2185" w:rsidP="00C246F6">
      <w:pPr>
        <w:overflowPunct w:val="0"/>
        <w:adjustRightInd w:val="0"/>
        <w:snapToGrid w:val="0"/>
        <w:spacing w:line="590" w:lineRule="exact"/>
        <w:ind w:firstLineChars="200" w:firstLine="632"/>
        <w:rPr>
          <w:rFonts w:ascii="Times New Roman" w:eastAsia="方正仿宋_GBK" w:hAnsi="Times New Roman" w:cs="Times New Roman"/>
          <w:sz w:val="32"/>
          <w:lang w:val="zh-CN"/>
        </w:rPr>
      </w:pPr>
    </w:p>
    <w:sectPr w:rsidR="007B2185">
      <w:headerReference w:type="even" r:id="rId7"/>
      <w:footerReference w:type="even" r:id="rId8"/>
      <w:footerReference w:type="default" r:id="rId9"/>
      <w:headerReference w:type="first" r:id="rId10"/>
      <w:footerReference w:type="first" r:id="rId11"/>
      <w:pgSz w:w="11906" w:h="16838"/>
      <w:pgMar w:top="2098" w:right="1474" w:bottom="1985" w:left="1588" w:header="1418" w:footer="141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A82" w:rsidRDefault="006D1A82">
      <w:r>
        <w:separator/>
      </w:r>
    </w:p>
  </w:endnote>
  <w:endnote w:type="continuationSeparator" w:id="0">
    <w:p w:rsidR="006D1A82" w:rsidRDefault="006D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625147295"/>
    </w:sdtPr>
    <w:sdtEndPr>
      <w:rPr>
        <w:rStyle w:val="af3"/>
      </w:rPr>
    </w:sdtEndPr>
    <w:sdtContent>
      <w:p w:rsidR="004324B6" w:rsidRDefault="00DF7667">
        <w:pPr>
          <w:pStyle w:val="af1"/>
          <w:framePr w:wrap="auto" w:vAnchor="text" w:hAnchor="margin" w:xAlign="center" w:y="1"/>
          <w:ind w:firstLine="640"/>
          <w:rPr>
            <w:rStyle w:val="af3"/>
          </w:rPr>
        </w:pPr>
        <w:r>
          <w:rPr>
            <w:rStyle w:val="af3"/>
          </w:rPr>
          <w:fldChar w:fldCharType="begin"/>
        </w:r>
        <w:r>
          <w:rPr>
            <w:rStyle w:val="af3"/>
          </w:rPr>
          <w:instrText xml:space="preserve"> PAGE </w:instrText>
        </w:r>
        <w:r>
          <w:rPr>
            <w:rStyle w:val="af3"/>
          </w:rPr>
          <w:fldChar w:fldCharType="end"/>
        </w:r>
      </w:p>
    </w:sdtContent>
  </w:sdt>
  <w:p w:rsidR="004324B6" w:rsidRDefault="006D1A82">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DF7667">
    <w:pPr>
      <w:pStyle w:val="af1"/>
      <w:numPr>
        <w:ilvl w:val="0"/>
        <w:numId w:val="1"/>
      </w:numPr>
      <w:ind w:firstLineChars="0"/>
      <w:jc w:val="center"/>
      <w:rPr>
        <w:sz w:val="28"/>
        <w:szCs w:val="28"/>
      </w:rPr>
    </w:pPr>
    <w:r>
      <w:rPr>
        <w:sz w:val="28"/>
        <w:szCs w:val="28"/>
      </w:rPr>
      <w:t xml:space="preserve"> </w:t>
    </w:r>
    <w:sdt>
      <w:sdtPr>
        <w:rPr>
          <w:sz w:val="28"/>
          <w:szCs w:val="28"/>
        </w:rPr>
        <w:id w:val="743461694"/>
      </w:sdtPr>
      <w:sdtEndPr>
        <w:rPr>
          <w:rFonts w:hint="eastAsia"/>
        </w:rPr>
      </w:sdtEndPr>
      <w:sdtContent>
        <w:r>
          <w:rPr>
            <w:sz w:val="28"/>
            <w:szCs w:val="28"/>
          </w:rPr>
          <w:fldChar w:fldCharType="begin"/>
        </w:r>
        <w:r>
          <w:rPr>
            <w:sz w:val="28"/>
            <w:szCs w:val="28"/>
          </w:rPr>
          <w:instrText>PAGE   \* MERGEFORMAT</w:instrText>
        </w:r>
        <w:r>
          <w:rPr>
            <w:sz w:val="28"/>
            <w:szCs w:val="28"/>
          </w:rPr>
          <w:fldChar w:fldCharType="separate"/>
        </w:r>
        <w:r w:rsidR="00112813" w:rsidRPr="00112813">
          <w:rPr>
            <w:noProof/>
            <w:sz w:val="28"/>
            <w:szCs w:val="28"/>
            <w:lang w:val="zh-CN"/>
          </w:rPr>
          <w:t>2</w:t>
        </w:r>
        <w:r>
          <w:rPr>
            <w:sz w:val="28"/>
            <w:szCs w:val="28"/>
          </w:rPr>
          <w:fldChar w:fldCharType="end"/>
        </w:r>
        <w:r>
          <w:rPr>
            <w:sz w:val="28"/>
            <w:szCs w:val="28"/>
          </w:rPr>
          <w:t xml:space="preserve"> </w:t>
        </w:r>
        <w:r>
          <w:rPr>
            <w:rFonts w:hint="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6D1A82">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A82" w:rsidRDefault="006D1A82">
      <w:r>
        <w:separator/>
      </w:r>
    </w:p>
  </w:footnote>
  <w:footnote w:type="continuationSeparator" w:id="0">
    <w:p w:rsidR="006D1A82" w:rsidRDefault="006D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6D1A82">
    <w:pPr>
      <w:pStyle w:val="af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6D1A82">
    <w:pPr>
      <w:pStyle w:val="af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E41E3"/>
    <w:multiLevelType w:val="multilevel"/>
    <w:tmpl w:val="2D4E41E3"/>
    <w:lvl w:ilvl="0">
      <w:start w:val="1"/>
      <w:numFmt w:val="bullet"/>
      <w:lvlText w:val="—"/>
      <w:lvlJc w:val="left"/>
      <w:pPr>
        <w:ind w:left="360" w:hanging="360"/>
      </w:pPr>
      <w:rPr>
        <w:rFonts w:ascii="方正仿宋_GBK" w:eastAsia="方正仿宋_GBK" w:hAnsi="方正仿宋_GBK" w:cs="Times New Roman (正文 CS 字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E60BB8"/>
    <w:multiLevelType w:val="multilevel"/>
    <w:tmpl w:val="52E60BB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F6"/>
    <w:rsid w:val="000210F8"/>
    <w:rsid w:val="00036107"/>
    <w:rsid w:val="00043990"/>
    <w:rsid w:val="00112813"/>
    <w:rsid w:val="001E30EB"/>
    <w:rsid w:val="00242F2A"/>
    <w:rsid w:val="00464753"/>
    <w:rsid w:val="004F32DB"/>
    <w:rsid w:val="00526C17"/>
    <w:rsid w:val="006D1A82"/>
    <w:rsid w:val="006D3763"/>
    <w:rsid w:val="006F6289"/>
    <w:rsid w:val="007B2185"/>
    <w:rsid w:val="00A062D2"/>
    <w:rsid w:val="00A27501"/>
    <w:rsid w:val="00B43060"/>
    <w:rsid w:val="00BE6338"/>
    <w:rsid w:val="00C223EC"/>
    <w:rsid w:val="00C246F6"/>
    <w:rsid w:val="00CA62E0"/>
    <w:rsid w:val="00D021C2"/>
    <w:rsid w:val="00DB7B09"/>
    <w:rsid w:val="00DE0146"/>
    <w:rsid w:val="00DF7667"/>
    <w:rsid w:val="00E40AE3"/>
    <w:rsid w:val="00E42F30"/>
    <w:rsid w:val="00F4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2CB76-D3B3-4950-B79B-3CB05771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_GBK"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38"/>
    <w:pPr>
      <w:widowControl w:val="0"/>
      <w:jc w:val="both"/>
    </w:pPr>
    <w:rPr>
      <w:rFonts w:ascii="Calibri" w:eastAsia="宋体" w:hAnsi="Calibri" w:cs="Arial"/>
      <w:kern w:val="2"/>
      <w:sz w:val="21"/>
      <w:szCs w:val="22"/>
    </w:rPr>
  </w:style>
  <w:style w:type="paragraph" w:styleId="1">
    <w:name w:val="heading 1"/>
    <w:basedOn w:val="a"/>
    <w:next w:val="a"/>
    <w:link w:val="1Char"/>
    <w:qFormat/>
    <w:rsid w:val="00DB7B0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B7B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DB7B09"/>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DB7B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B7B0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DB7B0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DB7B09"/>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DB7B0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DB7B0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7B09"/>
    <w:rPr>
      <w:rFonts w:ascii="Calibri" w:eastAsia="宋体" w:hAnsi="Calibri" w:cs="Arial"/>
      <w:b/>
      <w:bCs/>
      <w:kern w:val="44"/>
      <w:sz w:val="44"/>
      <w:szCs w:val="44"/>
    </w:rPr>
  </w:style>
  <w:style w:type="character" w:customStyle="1" w:styleId="2Char">
    <w:name w:val="标题 2 Char"/>
    <w:basedOn w:val="a0"/>
    <w:link w:val="2"/>
    <w:semiHidden/>
    <w:rsid w:val="00DB7B0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DB7B09"/>
    <w:rPr>
      <w:rFonts w:ascii="Calibri" w:eastAsia="宋体" w:hAnsi="Calibri" w:cs="Arial"/>
      <w:b/>
      <w:bCs/>
      <w:kern w:val="2"/>
      <w:sz w:val="32"/>
      <w:szCs w:val="32"/>
    </w:rPr>
  </w:style>
  <w:style w:type="character" w:customStyle="1" w:styleId="4Char">
    <w:name w:val="标题 4 Char"/>
    <w:basedOn w:val="a0"/>
    <w:link w:val="4"/>
    <w:semiHidden/>
    <w:rsid w:val="00DB7B09"/>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DB7B09"/>
    <w:rPr>
      <w:rFonts w:ascii="Calibri" w:eastAsia="宋体" w:hAnsi="Calibri" w:cs="Arial"/>
      <w:b/>
      <w:bCs/>
      <w:kern w:val="2"/>
      <w:sz w:val="28"/>
      <w:szCs w:val="28"/>
    </w:rPr>
  </w:style>
  <w:style w:type="character" w:customStyle="1" w:styleId="6Char">
    <w:name w:val="标题 6 Char"/>
    <w:basedOn w:val="a0"/>
    <w:link w:val="6"/>
    <w:semiHidden/>
    <w:rsid w:val="00DB7B09"/>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DB7B09"/>
    <w:rPr>
      <w:rFonts w:ascii="Calibri" w:eastAsia="宋体" w:hAnsi="Calibri" w:cs="Arial"/>
      <w:b/>
      <w:bCs/>
      <w:kern w:val="2"/>
      <w:sz w:val="24"/>
      <w:szCs w:val="24"/>
    </w:rPr>
  </w:style>
  <w:style w:type="character" w:customStyle="1" w:styleId="8Char">
    <w:name w:val="标题 8 Char"/>
    <w:basedOn w:val="a0"/>
    <w:link w:val="8"/>
    <w:semiHidden/>
    <w:rsid w:val="00DB7B09"/>
    <w:rPr>
      <w:rFonts w:asciiTheme="majorHAnsi" w:eastAsiaTheme="majorEastAsia" w:hAnsiTheme="majorHAnsi" w:cstheme="majorBidi"/>
      <w:kern w:val="2"/>
      <w:sz w:val="24"/>
      <w:szCs w:val="24"/>
    </w:rPr>
  </w:style>
  <w:style w:type="character" w:customStyle="1" w:styleId="9Char">
    <w:name w:val="标题 9 Char"/>
    <w:basedOn w:val="a0"/>
    <w:link w:val="9"/>
    <w:semiHidden/>
    <w:rsid w:val="00DB7B09"/>
    <w:rPr>
      <w:rFonts w:asciiTheme="majorHAnsi" w:eastAsiaTheme="majorEastAsia" w:hAnsiTheme="majorHAnsi" w:cstheme="majorBidi"/>
      <w:kern w:val="2"/>
      <w:sz w:val="21"/>
      <w:szCs w:val="21"/>
    </w:rPr>
  </w:style>
  <w:style w:type="paragraph" w:styleId="a3">
    <w:name w:val="caption"/>
    <w:basedOn w:val="a"/>
    <w:next w:val="a"/>
    <w:semiHidden/>
    <w:unhideWhenUsed/>
    <w:qFormat/>
    <w:rsid w:val="00DB7B09"/>
    <w:rPr>
      <w:rFonts w:asciiTheme="majorHAnsi" w:eastAsia="黑体" w:hAnsiTheme="majorHAnsi" w:cstheme="majorBidi"/>
      <w:sz w:val="20"/>
      <w:szCs w:val="20"/>
    </w:rPr>
  </w:style>
  <w:style w:type="paragraph" w:styleId="a4">
    <w:name w:val="Title"/>
    <w:basedOn w:val="a"/>
    <w:next w:val="a"/>
    <w:link w:val="Char"/>
    <w:qFormat/>
    <w:rsid w:val="00DB7B09"/>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B7B09"/>
    <w:rPr>
      <w:rFonts w:asciiTheme="majorHAnsi" w:eastAsia="宋体" w:hAnsiTheme="majorHAnsi" w:cstheme="majorBidi"/>
      <w:b/>
      <w:bCs/>
      <w:kern w:val="2"/>
      <w:sz w:val="32"/>
      <w:szCs w:val="32"/>
    </w:rPr>
  </w:style>
  <w:style w:type="paragraph" w:styleId="a5">
    <w:name w:val="Subtitle"/>
    <w:basedOn w:val="a"/>
    <w:next w:val="a"/>
    <w:link w:val="Char0"/>
    <w:qFormat/>
    <w:rsid w:val="00DB7B09"/>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DB7B09"/>
    <w:rPr>
      <w:rFonts w:asciiTheme="majorHAnsi" w:eastAsia="宋体" w:hAnsiTheme="majorHAnsi" w:cstheme="majorBidi"/>
      <w:b/>
      <w:bCs/>
      <w:kern w:val="28"/>
      <w:sz w:val="32"/>
      <w:szCs w:val="32"/>
    </w:rPr>
  </w:style>
  <w:style w:type="character" w:styleId="a6">
    <w:name w:val="Strong"/>
    <w:basedOn w:val="a0"/>
    <w:qFormat/>
    <w:rsid w:val="00DB7B09"/>
    <w:rPr>
      <w:b/>
      <w:bCs/>
    </w:rPr>
  </w:style>
  <w:style w:type="character" w:styleId="a7">
    <w:name w:val="Emphasis"/>
    <w:basedOn w:val="a0"/>
    <w:qFormat/>
    <w:rsid w:val="00DB7B09"/>
    <w:rPr>
      <w:i/>
      <w:iCs/>
    </w:rPr>
  </w:style>
  <w:style w:type="table" w:styleId="a8">
    <w:name w:val="Table Grid"/>
    <w:basedOn w:val="a1"/>
    <w:uiPriority w:val="39"/>
    <w:rsid w:val="00DB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B7B09"/>
    <w:pPr>
      <w:widowControl w:val="0"/>
      <w:jc w:val="both"/>
    </w:pPr>
    <w:rPr>
      <w:rFonts w:ascii="Calibri" w:eastAsia="宋体" w:hAnsi="Calibri" w:cs="Arial"/>
      <w:kern w:val="2"/>
      <w:sz w:val="21"/>
      <w:szCs w:val="22"/>
    </w:rPr>
  </w:style>
  <w:style w:type="paragraph" w:styleId="aa">
    <w:name w:val="Quote"/>
    <w:basedOn w:val="a"/>
    <w:next w:val="a"/>
    <w:link w:val="Char1"/>
    <w:uiPriority w:val="29"/>
    <w:qFormat/>
    <w:rsid w:val="00DB7B09"/>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DB7B09"/>
    <w:rPr>
      <w:rFonts w:ascii="Calibri" w:eastAsia="宋体" w:hAnsi="Calibri" w:cs="Arial"/>
      <w:i/>
      <w:iCs/>
      <w:color w:val="404040" w:themeColor="text1" w:themeTint="BF"/>
      <w:kern w:val="2"/>
      <w:sz w:val="21"/>
      <w:szCs w:val="22"/>
    </w:rPr>
  </w:style>
  <w:style w:type="paragraph" w:styleId="ab">
    <w:name w:val="Intense Quote"/>
    <w:basedOn w:val="a"/>
    <w:next w:val="a"/>
    <w:link w:val="Char2"/>
    <w:uiPriority w:val="30"/>
    <w:qFormat/>
    <w:rsid w:val="00DB7B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b"/>
    <w:uiPriority w:val="30"/>
    <w:rsid w:val="00DB7B09"/>
    <w:rPr>
      <w:rFonts w:ascii="Calibri" w:eastAsia="宋体" w:hAnsi="Calibri" w:cs="Arial"/>
      <w:i/>
      <w:iCs/>
      <w:color w:val="5B9BD5" w:themeColor="accent1"/>
      <w:kern w:val="2"/>
      <w:sz w:val="21"/>
      <w:szCs w:val="22"/>
    </w:rPr>
  </w:style>
  <w:style w:type="character" w:styleId="ac">
    <w:name w:val="Subtle Emphasis"/>
    <w:basedOn w:val="a0"/>
    <w:uiPriority w:val="19"/>
    <w:qFormat/>
    <w:rsid w:val="00DB7B09"/>
    <w:rPr>
      <w:i/>
      <w:iCs/>
      <w:color w:val="404040" w:themeColor="text1" w:themeTint="BF"/>
    </w:rPr>
  </w:style>
  <w:style w:type="character" w:styleId="ad">
    <w:name w:val="Intense Emphasis"/>
    <w:basedOn w:val="a0"/>
    <w:uiPriority w:val="21"/>
    <w:qFormat/>
    <w:rsid w:val="00DB7B09"/>
    <w:rPr>
      <w:i/>
      <w:iCs/>
      <w:color w:val="5B9BD5" w:themeColor="accent1"/>
    </w:rPr>
  </w:style>
  <w:style w:type="character" w:styleId="ae">
    <w:name w:val="Subtle Reference"/>
    <w:basedOn w:val="a0"/>
    <w:uiPriority w:val="31"/>
    <w:qFormat/>
    <w:rsid w:val="00DB7B09"/>
    <w:rPr>
      <w:smallCaps/>
      <w:color w:val="5A5A5A" w:themeColor="text1" w:themeTint="A5"/>
    </w:rPr>
  </w:style>
  <w:style w:type="character" w:styleId="af">
    <w:name w:val="Intense Reference"/>
    <w:basedOn w:val="a0"/>
    <w:uiPriority w:val="32"/>
    <w:qFormat/>
    <w:rsid w:val="00DB7B09"/>
    <w:rPr>
      <w:b/>
      <w:bCs/>
      <w:smallCaps/>
      <w:color w:val="5B9BD5" w:themeColor="accent1"/>
      <w:spacing w:val="5"/>
    </w:rPr>
  </w:style>
  <w:style w:type="character" w:styleId="af0">
    <w:name w:val="Book Title"/>
    <w:basedOn w:val="a0"/>
    <w:uiPriority w:val="33"/>
    <w:qFormat/>
    <w:rsid w:val="00DB7B09"/>
    <w:rPr>
      <w:b/>
      <w:bCs/>
      <w:i/>
      <w:iCs/>
      <w:spacing w:val="5"/>
    </w:rPr>
  </w:style>
  <w:style w:type="paragraph" w:styleId="TOC">
    <w:name w:val="TOC Heading"/>
    <w:basedOn w:val="1"/>
    <w:next w:val="a"/>
    <w:uiPriority w:val="39"/>
    <w:semiHidden/>
    <w:unhideWhenUsed/>
    <w:qFormat/>
    <w:rsid w:val="00DB7B09"/>
    <w:pPr>
      <w:outlineLvl w:val="9"/>
    </w:pPr>
  </w:style>
  <w:style w:type="paragraph" w:styleId="af1">
    <w:name w:val="footer"/>
    <w:basedOn w:val="a"/>
    <w:link w:val="Char3"/>
    <w:uiPriority w:val="99"/>
    <w:unhideWhenUsed/>
    <w:qFormat/>
    <w:rsid w:val="00C246F6"/>
    <w:pPr>
      <w:tabs>
        <w:tab w:val="center" w:pos="4153"/>
        <w:tab w:val="right" w:pos="8306"/>
      </w:tabs>
      <w:snapToGrid w:val="0"/>
      <w:ind w:firstLineChars="200" w:firstLine="200"/>
      <w:jc w:val="left"/>
    </w:pPr>
    <w:rPr>
      <w:rFonts w:ascii="方正仿宋_GBK" w:eastAsia="方正仿宋_GBK" w:hAnsi="方正仿宋_GBK" w:cs="Times New Roman (正文 CS 字体)"/>
      <w:sz w:val="18"/>
      <w:szCs w:val="18"/>
    </w:rPr>
  </w:style>
  <w:style w:type="character" w:customStyle="1" w:styleId="Char3">
    <w:name w:val="页脚 Char"/>
    <w:basedOn w:val="a0"/>
    <w:link w:val="af1"/>
    <w:uiPriority w:val="99"/>
    <w:qFormat/>
    <w:rsid w:val="00C246F6"/>
    <w:rPr>
      <w:rFonts w:ascii="方正仿宋_GBK" w:hAnsi="方正仿宋_GBK" w:cs="Times New Roman (正文 CS 字体)"/>
      <w:kern w:val="2"/>
      <w:sz w:val="18"/>
      <w:szCs w:val="18"/>
    </w:rPr>
  </w:style>
  <w:style w:type="paragraph" w:styleId="af2">
    <w:name w:val="header"/>
    <w:basedOn w:val="a"/>
    <w:link w:val="Char4"/>
    <w:uiPriority w:val="99"/>
    <w:unhideWhenUsed/>
    <w:qFormat/>
    <w:rsid w:val="00C246F6"/>
    <w:pPr>
      <w:pBdr>
        <w:bottom w:val="single" w:sz="6" w:space="1" w:color="auto"/>
      </w:pBdr>
      <w:tabs>
        <w:tab w:val="center" w:pos="4153"/>
        <w:tab w:val="right" w:pos="8306"/>
      </w:tabs>
      <w:snapToGrid w:val="0"/>
      <w:ind w:firstLineChars="200" w:firstLine="200"/>
      <w:jc w:val="center"/>
    </w:pPr>
    <w:rPr>
      <w:rFonts w:ascii="方正仿宋_GBK" w:eastAsia="方正仿宋_GBK" w:hAnsi="方正仿宋_GBK" w:cs="Times New Roman (正文 CS 字体)"/>
      <w:sz w:val="18"/>
      <w:szCs w:val="18"/>
    </w:rPr>
  </w:style>
  <w:style w:type="character" w:customStyle="1" w:styleId="Char4">
    <w:name w:val="页眉 Char"/>
    <w:basedOn w:val="a0"/>
    <w:link w:val="af2"/>
    <w:uiPriority w:val="99"/>
    <w:qFormat/>
    <w:rsid w:val="00C246F6"/>
    <w:rPr>
      <w:rFonts w:ascii="方正仿宋_GBK" w:hAnsi="方正仿宋_GBK" w:cs="Times New Roman (正文 CS 字体)"/>
      <w:kern w:val="2"/>
      <w:sz w:val="18"/>
      <w:szCs w:val="18"/>
    </w:rPr>
  </w:style>
  <w:style w:type="character" w:styleId="af3">
    <w:name w:val="page number"/>
    <w:basedOn w:val="a0"/>
    <w:uiPriority w:val="99"/>
    <w:semiHidden/>
    <w:unhideWhenUsed/>
    <w:qFormat/>
    <w:rsid w:val="00C246F6"/>
    <w:rPr>
      <w:rFonts w:eastAsia="方正仿宋_GBK"/>
      <w:sz w:val="32"/>
    </w:rPr>
  </w:style>
  <w:style w:type="paragraph" w:styleId="af4">
    <w:name w:val="Date"/>
    <w:basedOn w:val="a"/>
    <w:next w:val="a"/>
    <w:link w:val="Char5"/>
    <w:uiPriority w:val="99"/>
    <w:semiHidden/>
    <w:unhideWhenUsed/>
    <w:rsid w:val="00DE0146"/>
    <w:pPr>
      <w:ind w:leftChars="2500" w:left="100"/>
    </w:pPr>
  </w:style>
  <w:style w:type="character" w:customStyle="1" w:styleId="Char5">
    <w:name w:val="日期 Char"/>
    <w:basedOn w:val="a0"/>
    <w:link w:val="af4"/>
    <w:uiPriority w:val="99"/>
    <w:semiHidden/>
    <w:rsid w:val="00DE0146"/>
    <w:rPr>
      <w:rFonts w:ascii="Calibri" w:eastAsia="宋体"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1471</Characters>
  <Application>Microsoft Office Word</Application>
  <DocSecurity>0</DocSecurity>
  <Lines>12</Lines>
  <Paragraphs>3</Paragraphs>
  <ScaleCrop>false</ScaleCrop>
  <Company>Microsoft</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2022-09-09T03:20:00Z</dcterms:created>
  <dcterms:modified xsi:type="dcterms:W3CDTF">2022-09-09T03:20:00Z</dcterms:modified>
</cp:coreProperties>
</file>