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级企业技术中心初评方法</w:t>
      </w:r>
    </w:p>
    <w:p>
      <w:pPr>
        <w:jc w:val="left"/>
        <w:rPr>
          <w:rFonts w:hint="default" w:ascii="Times New Roman" w:hAnsi="Times New Roman" w:cs="Times New Roman"/>
          <w:b/>
          <w:sz w:val="30"/>
          <w:szCs w:val="30"/>
        </w:rPr>
      </w:pP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级企业技术中心的初评按以下程序进行：</w:t>
      </w:r>
    </w:p>
    <w:p>
      <w:pPr>
        <w:widowControl/>
        <w:spacing w:line="540" w:lineRule="exact"/>
        <w:ind w:left="6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一、基础数据处理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在进行正式评价之前，首先需根据《淮安市市级企业技术中心认定评价工作指南（试行）》（淮工信创新〔202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号，以下简称《工作指南》）明确的各项指标解释，结合申请报告中的相关附件及证明材料，对企业技术中心提交的“淮安市市级企业技术中心评价数据表”中各项数据值进行逐项核实，对证明材料缺失或无效的数据，按量予以核减，以最终的核定数据作为计算每项指标得分的依据。</w:t>
      </w:r>
    </w:p>
    <w:p>
      <w:pPr>
        <w:widowControl/>
        <w:spacing w:line="540" w:lineRule="exact"/>
        <w:ind w:left="6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二、指标数值计算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获得各项指标的核定数据后，可获得《淮安市市级企业技术中心评价指标体系》（见《工作指南》）中各项指标的数值。其中，有7项指标的数值须通过计算获得。对于引入行业系数进行调节的“研发经费支出占营业收入的比重”、“新产品销售收入占营业收入的比重”、“新产品销售利润占利润总额的比重”3项指标，在计算获得原始指标数值后，再乘以本企业所在行业的行业系数（见《工作指南》）作为计算相关指标得分的最终依据。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以下是7项指标具体的计算方法：</w:t>
      </w:r>
    </w:p>
    <w:p>
      <w:pPr>
        <w:widowControl/>
        <w:numPr>
          <w:ilvl w:val="0"/>
          <w:numId w:val="1"/>
        </w:numPr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“研发人员人均研发经费支出指标”数值，由“研究与试验发展经费支出”核定数据除以“研究与试验发展人员数”核定</w:t>
      </w:r>
      <w:bookmarkStart w:id="0" w:name="page2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数据得到；</w:t>
      </w:r>
    </w:p>
    <w:p>
      <w:pPr>
        <w:widowControl/>
        <w:numPr>
          <w:ilvl w:val="0"/>
          <w:numId w:val="1"/>
        </w:numPr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“研发经费支出占营业收入的比重”数值，由“研究与试验发展经费支出”核定数据除以“营业收入”核定数据，再乘以本企业所在行业的行业系数得到；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（三）“研发人员占职工总数的比重”数值，由“研究与试验发展人员数”核定数据除以“企业从业人员数”核定数据得到；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（四）“研发周期三年以上的项目数占全部研发项目数的比重”数值，由“研发周期三年以上的项目数”核定数据除以“企业全部研发项目数”核定数据得到；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（五）“新产品销售收入占营业收入的比重”数值，由“新产品销售收入”核定数据除以“营业收入”核定数据，再乘以本企业所在行业的行业系数得到；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（六）“新产品销售利润占利润总额的比重”数值，由“新产品销售利润”核定数据除以“利润总额”核定数据，再乘以本企业所在行业的行业系数得到；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（七）“利润率”数值，由“利润总额”核定数据除以“营业收入”核定数据得到。</w:t>
      </w:r>
    </w:p>
    <w:p>
      <w:pPr>
        <w:widowControl/>
        <w:spacing w:line="540" w:lineRule="exact"/>
        <w:ind w:left="6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三、得分计算方法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获得《淮安市市级企业技术中心评价指标体系》中各项指标的数值后，根据基本要求、满分要求以及相应的计算规则，计算出各项指标的得分，其总和就是该企业的评价得分。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（一）关于各项指标的基本要求和满分要求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sectPr>
          <w:footerReference r:id="rId3" w:type="default"/>
          <w:pgSz w:w="11900" w:h="16838"/>
          <w:pgMar w:top="1440" w:right="1460" w:bottom="1129" w:left="1620" w:header="0" w:footer="0" w:gutter="0"/>
          <w:pgNumType w:fmt="decimal"/>
          <w:cols w:equalWidth="0" w:num="1">
            <w:col w:w="8820"/>
          </w:cols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各项指标的基本要求、满分要求，由已认定市级企业技术中心历史数据测算得到，并根据淮安市企业技术中心创新发展总体情况进行动态调整。当前基本要求、满分要求的数值见下表。</w:t>
      </w:r>
    </w:p>
    <w:p>
      <w:pPr>
        <w:widowControl/>
        <w:spacing w:line="540" w:lineRule="exact"/>
        <w:jc w:val="left"/>
        <w:rPr>
          <w:rFonts w:hint="default" w:ascii="Times New Roman" w:hAnsi="Times New Roman" w:eastAsia="宋体" w:cs="Times New Roman"/>
          <w:kern w:val="0"/>
          <w:sz w:val="30"/>
          <w:szCs w:val="30"/>
        </w:rPr>
        <w:sectPr>
          <w:type w:val="continuous"/>
          <w:pgSz w:w="11900" w:h="16838"/>
          <w:pgMar w:top="1440" w:right="9440" w:bottom="1129" w:left="1620" w:header="0" w:footer="0" w:gutter="0"/>
          <w:pgNumType w:fmt="decimal"/>
          <w:cols w:equalWidth="0" w:num="1">
            <w:col w:w="840"/>
          </w:cols>
        </w:sectPr>
      </w:pPr>
    </w:p>
    <w:p>
      <w:pPr>
        <w:widowControl/>
        <w:spacing w:line="200" w:lineRule="exact"/>
        <w:jc w:val="left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bookmarkStart w:id="1" w:name="page3"/>
      <w:bookmarkEnd w:id="1"/>
    </w:p>
    <w:p>
      <w:pPr>
        <w:widowControl/>
        <w:ind w:left="2160"/>
        <w:jc w:val="left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  <w:r>
        <w:rPr>
          <w:rFonts w:hint="default" w:ascii="Times New Roman" w:hAnsi="Times New Roman" w:eastAsia="方正楷体_GBK" w:cs="Times New Roman"/>
          <w:kern w:val="0"/>
          <w:sz w:val="28"/>
          <w:szCs w:val="28"/>
        </w:rPr>
        <w:t>附表 各项指标基本要求和满分要求</w:t>
      </w:r>
    </w:p>
    <w:p>
      <w:pPr>
        <w:widowControl/>
        <w:spacing w:line="179" w:lineRule="exact"/>
        <w:jc w:val="left"/>
        <w:rPr>
          <w:rFonts w:hint="default" w:ascii="Times New Roman" w:hAnsi="Times New Roman" w:eastAsia="宋体" w:cs="Times New Roman"/>
          <w:kern w:val="0"/>
          <w:sz w:val="20"/>
          <w:szCs w:val="20"/>
        </w:rPr>
      </w:pP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82"/>
        <w:gridCol w:w="695"/>
        <w:gridCol w:w="4915"/>
        <w:gridCol w:w="695"/>
        <w:gridCol w:w="695"/>
        <w:gridCol w:w="695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一级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指标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二级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指标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权重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三级指标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单位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权重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基本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</w:rPr>
              <w:t>要求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eastAsia="zh-CN"/>
              </w:rPr>
              <w:t>满分要求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投入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经费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1. 研发人员人均研发经费支出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2. 研发经费支出占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收入的比重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%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人才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3.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研究与试验发展人员数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占企业职工总数的比重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%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 w:right="-105" w:rightChars="-50"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4. 技术中心拥有的高级专家和博士人数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 w:right="-105" w:rightChars="-50"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5. 来技术中心从事研发工作的外聘专家人数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人月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条件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技术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积累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6. 企业拥有的全部有效专利数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件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7. 企业拥有的全部有效发明专利数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件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8. 企业全部研发项目数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9. 研发周期三年以上的项目数占全部研发项目数的比重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%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平台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企业技术开发仪器设备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原值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国家、省、市认证研发平台数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个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695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≥1</w:t>
            </w:r>
          </w:p>
        </w:tc>
        <w:tc>
          <w:tcPr>
            <w:tcW w:w="695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分档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.通过国家（国际组织）、省认证的实验室和检测机构数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个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绩效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技术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产出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.当年被受理的专利申请数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件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.当年被受理的发明专利申请数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件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.最近三年主持和参加制定的国际、国家、行业和团体标准数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16.最近三年被列入省新技术新产品目录、通过省级鉴定的项目数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个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创新</w:t>
            </w:r>
          </w:p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效益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.新产品销售收入占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收入的比重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%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≥20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.新产品销售利润占利润总额的比重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%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7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20"/>
              <w:jc w:val="center"/>
              <w:rPr>
                <w:rFonts w:hint="default" w:ascii="Times New Roman" w:hAnsi="Times New Roman" w:eastAsia="仿宋_GB2312" w:cs="Times New Roman"/>
                <w:color w:val="0070C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.销售利润率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%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≥2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加分项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.获国家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、省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科技奖励项目数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项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≤2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分档</w:t>
            </w:r>
          </w:p>
        </w:tc>
      </w:tr>
    </w:tbl>
    <w:p>
      <w:pPr>
        <w:overflowPunct w:val="0"/>
        <w:snapToGrid w:val="0"/>
        <w:ind w:firstLine="482"/>
        <w:jc w:val="left"/>
        <w:rPr>
          <w:rFonts w:hint="default" w:ascii="Times New Roman" w:hAnsi="Times New Roman" w:eastAsia="方正仿宋_GBK" w:cs="Times New Roman"/>
          <w:b/>
          <w:sz w:val="24"/>
          <w:szCs w:val="44"/>
        </w:rPr>
      </w:pPr>
    </w:p>
    <w:p>
      <w:pPr>
        <w:overflowPunct w:val="0"/>
        <w:snapToGrid w:val="0"/>
        <w:ind w:firstLine="482"/>
        <w:jc w:val="left"/>
        <w:rPr>
          <w:rFonts w:hint="default" w:ascii="Times New Roman" w:hAnsi="Times New Roman" w:eastAsia="方正仿宋_GBK" w:cs="Times New Roman"/>
          <w:b/>
          <w:sz w:val="24"/>
          <w:szCs w:val="44"/>
        </w:rPr>
      </w:pPr>
      <w:r>
        <w:rPr>
          <w:rFonts w:hint="default" w:ascii="Times New Roman" w:hAnsi="Times New Roman" w:eastAsia="方正仿宋_GBK" w:cs="Times New Roman"/>
          <w:b/>
          <w:sz w:val="24"/>
          <w:szCs w:val="44"/>
        </w:rPr>
        <w:t>指标说明：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60" w:lineRule="exact"/>
        <w:ind w:firstLine="482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24"/>
          <w:szCs w:val="28"/>
        </w:rPr>
      </w:pP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1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.国家、省、市认证研发平台数：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</w:rPr>
        <w:t>企业获国家级研发平台数，每个加2分；获江苏省级研发平台数，每个加1分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  <w:lang w:eastAsia="zh-CN"/>
        </w:rPr>
        <w:t>，获淮安市级研发平台数，每个加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  <w:lang w:val="en-US" w:eastAsia="zh-CN"/>
        </w:rPr>
        <w:t>0.5分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</w:rPr>
        <w:t>。</w:t>
      </w:r>
    </w:p>
    <w:p>
      <w:pPr>
        <w:overflowPunct w:val="0"/>
        <w:snapToGrid w:val="0"/>
        <w:spacing w:line="240" w:lineRule="auto"/>
        <w:ind w:firstLine="482"/>
        <w:rPr>
          <w:rFonts w:hint="default" w:ascii="Times New Roman" w:hAnsi="Times New Roman" w:eastAsia="仿宋_GB2312" w:cs="Times New Roman"/>
          <w:kern w:val="0"/>
          <w:sz w:val="24"/>
          <w:szCs w:val="28"/>
        </w:rPr>
      </w:pP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1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.新产品销售利润占利润总额的比重：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</w:rPr>
        <w:t>当新产品销售利润≤0时，该项得分为0分；当新产品销售利润＞0且利润总额≤0时，该项得分为6分；其他情况按照指标得分计算规则评分。</w:t>
      </w:r>
    </w:p>
    <w:p>
      <w:pPr>
        <w:overflowPunct w:val="0"/>
        <w:snapToGrid w:val="0"/>
        <w:spacing w:line="240" w:lineRule="auto"/>
        <w:ind w:firstLine="482"/>
        <w:rPr>
          <w:rFonts w:hint="default" w:ascii="Times New Roman" w:hAnsi="Times New Roman" w:eastAsia="仿宋_GB2312" w:cs="Times New Roman"/>
          <w:kern w:val="0"/>
          <w:sz w:val="24"/>
          <w:szCs w:val="28"/>
        </w:rPr>
      </w:pP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  <w:lang w:val="en-US" w:eastAsia="zh-CN"/>
        </w:rPr>
        <w:t>19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.销售利润率：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</w:rPr>
        <w:t>当利润总额≤0时，该项得分为0分；其他情况按照指标得分计算规则评分。</w:t>
      </w:r>
    </w:p>
    <w:p>
      <w:pPr>
        <w:overflowPunct w:val="0"/>
        <w:snapToGrid w:val="0"/>
        <w:spacing w:line="240" w:lineRule="auto"/>
        <w:ind w:firstLine="482"/>
        <w:rPr>
          <w:rFonts w:hint="default" w:ascii="Times New Roman" w:hAnsi="Times New Roman" w:eastAsia="仿宋_GB2312" w:cs="Times New Roman"/>
          <w:kern w:val="0"/>
          <w:sz w:val="24"/>
          <w:szCs w:val="28"/>
        </w:rPr>
      </w:pP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.获国家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  <w:lang w:eastAsia="zh-CN"/>
        </w:rPr>
        <w:t>、省</w:t>
      </w:r>
      <w:r>
        <w:rPr>
          <w:rFonts w:hint="default" w:ascii="Times New Roman" w:hAnsi="Times New Roman" w:eastAsia="楷体" w:cs="Times New Roman"/>
          <w:b/>
          <w:kern w:val="0"/>
          <w:sz w:val="24"/>
          <w:szCs w:val="28"/>
        </w:rPr>
        <w:t>科技奖励项目数：</w:t>
      </w:r>
      <w:r>
        <w:rPr>
          <w:rFonts w:hint="default" w:ascii="Times New Roman" w:hAnsi="Times New Roman" w:eastAsia="仿宋_GB2312" w:cs="Times New Roman"/>
          <w:kern w:val="0"/>
          <w:sz w:val="24"/>
          <w:szCs w:val="28"/>
        </w:rPr>
        <w:t>企业作为主要完成单位或企业员工作为主要完成人获国家科技奖励，加2分；获江苏省科技奖励，每项加1分。</w:t>
      </w:r>
    </w:p>
    <w:p>
      <w:pPr>
        <w:overflowPunct w:val="0"/>
        <w:snapToGrid w:val="0"/>
        <w:ind w:firstLine="482"/>
        <w:rPr>
          <w:rFonts w:hint="default" w:ascii="Times New Roman" w:hAnsi="Times New Roman" w:eastAsia="方正仿宋_GBK" w:cs="Times New Roman"/>
          <w:kern w:val="0"/>
          <w:sz w:val="24"/>
          <w:szCs w:val="28"/>
        </w:rPr>
      </w:pPr>
    </w:p>
    <w:p>
      <w:pPr>
        <w:widowControl/>
        <w:rPr>
          <w:rFonts w:hint="default" w:ascii="Times New Roman" w:hAnsi="Times New Roman" w:eastAsia="宋体" w:cs="Times New Roman"/>
        </w:rPr>
      </w:pP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(二)指标得分计算规则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napToGrid w:val="0"/>
        <w:jc w:val="center"/>
        <w:rPr>
          <w:rFonts w:hint="default" w:ascii="Times New Roman" w:hAnsi="Times New Roman" w:eastAsia="宋体" w:cs="Times New Roman"/>
          <w:b/>
          <w:szCs w:val="21"/>
        </w:rPr>
      </w:pPr>
      <w:r>
        <w:rPr>
          <w:rFonts w:hint="default" w:ascii="Times New Roman" w:hAnsi="Times New Roman" w:eastAsia="宋体" w:cs="Times New Roman"/>
          <w:b/>
          <w:szCs w:val="21"/>
        </w:rPr>
        <w:drawing>
          <wp:inline distT="0" distB="0" distL="0" distR="0">
            <wp:extent cx="4648200" cy="2649855"/>
            <wp:effectExtent l="0" t="0" r="0" b="0"/>
            <wp:docPr id="1" name="图片 1" descr="C:\Users\ZhangHui\AppData\Local\Temp\15691626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ngHui\AppData\Local\Temp\156916262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51" cy="265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jc w:val="center"/>
        <w:rPr>
          <w:rFonts w:hint="default" w:ascii="Times New Roman" w:hAnsi="Times New Roman" w:eastAsia="方正黑体_GBK" w:cs="Times New Roman"/>
          <w:b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kern w:val="0"/>
          <w:sz w:val="28"/>
          <w:szCs w:val="28"/>
        </w:rPr>
        <w:t>分段线性插值算法示意图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1．指标数值大于或等于满分要求时，指标得分为满分，即指标得分等于上表中的权重；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2．指标数值等于基本要求时，指标得分为权重的60%；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3．指标数值为0时，指标得分为0；</w:t>
      </w: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4．指标数值处于0和基本要求之间时，指标得分按线性插值的方法计算，具体计算公式为：</w:t>
      </w:r>
    </w:p>
    <w:p>
      <w:pPr>
        <w:widowControl/>
        <w:snapToGrid w:val="0"/>
        <w:jc w:val="center"/>
        <w:rPr>
          <w:rFonts w:hint="default" w:ascii="Times New Roman" w:hAnsi="Times New Roman" w:eastAsia="方正黑体_GBK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hint="default" w:ascii="Cambria Math" w:hAnsi="Cambria Math" w:eastAsia="方正黑体_GBK" w:cs="Times New Roman"/>
              <w:kern w:val="0"/>
              <w:sz w:val="28"/>
              <w:szCs w:val="28"/>
            </w:rPr>
            <m:t>指标得分=</m:t>
          </m:r>
          <m:f>
            <m:fPr>
              <m:ctrl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  <m:t>指标数值</m:t>
              </m:r>
              <m:ctrl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方正黑体_GBK" w:cs="Times New Roman"/>
              <w:kern w:val="0"/>
              <w:sz w:val="28"/>
              <w:szCs w:val="28"/>
            </w:rPr>
            <m:t>×权重的60%</m:t>
          </m:r>
        </m:oMath>
      </m:oMathPara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5．指标数值处于基本要求和满分要求之间时，指标得分按线性插值的方法计算，具体计算公式为：</w:t>
      </w:r>
    </w:p>
    <w:p>
      <w:pPr>
        <w:widowControl/>
        <w:snapToGrid w:val="0"/>
        <w:jc w:val="center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m:oMathPara>
        <m:oMath>
          <m:r>
            <m:rPr>
              <m:sty m:val="p"/>
            </m:rPr>
            <w:rPr>
              <w:rFonts w:hint="default" w:ascii="Cambria Math" w:hAnsi="Cambria Math" w:eastAsia="方正黑体_GBK" w:cs="Times New Roman"/>
              <w:kern w:val="0"/>
              <w:sz w:val="28"/>
              <w:szCs w:val="28"/>
            </w:rPr>
            <m:t>指标得分=</m:t>
          </m:r>
          <m:f>
            <m:fPr>
              <m:ctrl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  <m:t>指标数值</m:t>
              </m:r>
              <m:r>
                <m:rPr>
                  <m:sty m:val="p"/>
                </m:rPr>
                <w:rPr>
                  <w:rFonts w:hint="default" w:ascii="Cambria Math" w:hAnsi="Cambria Math" w:eastAsia="微软雅黑" w:cs="Times New Roman"/>
                  <w:kern w:val="0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  <m:t>满分要求</m:t>
              </m:r>
              <m:r>
                <m:rPr>
                  <m:sty m:val="p"/>
                </m:rPr>
                <w:rPr>
                  <w:rFonts w:hint="default" w:ascii="Cambria Math" w:hAnsi="Cambria Math" w:eastAsia="微软雅黑" w:cs="Times New Roman"/>
                  <w:kern w:val="0"/>
                  <w:sz w:val="28"/>
                  <w:szCs w:val="28"/>
                </w:rPr>
                <m:t>−</m:t>
              </m:r>
              <m:r>
                <m:rPr>
                  <m:sty m:val="p"/>
                </m:r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  <m:t>基本要求</m:t>
              </m:r>
              <m:ctrlPr>
                <w:rPr>
                  <w:rFonts w:hint="default" w:ascii="Cambria Math" w:hAnsi="Cambria Math" w:eastAsia="方正黑体_GBK" w:cs="Times New Roman"/>
                  <w:kern w:val="0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hint="default" w:ascii="Cambria Math" w:hAnsi="Cambria Math" w:eastAsia="方正黑体_GBK" w:cs="Times New Roman"/>
              <w:kern w:val="0"/>
              <w:sz w:val="28"/>
              <w:szCs w:val="28"/>
            </w:rPr>
            <m:t>×权重的40%+权重的60%</m:t>
          </m:r>
        </m:oMath>
      </m:oMathPara>
    </w:p>
    <w:p>
      <w:pPr>
        <w:widowControl/>
        <w:snapToGrid w:val="0"/>
        <w:spacing w:line="360" w:lineRule="auto"/>
        <w:ind w:left="944" w:leftChars="271" w:hanging="375" w:hangingChars="134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spacing w:line="540" w:lineRule="exact"/>
        <w:ind w:firstLine="6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(三)《评价指标体系》行业系数</w:t>
      </w:r>
    </w:p>
    <w:p>
      <w:pPr>
        <w:widowControl/>
        <w:snapToGrid w:val="0"/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28"/>
        </w:rPr>
      </w:pPr>
    </w:p>
    <w:tbl>
      <w:tblPr>
        <w:tblStyle w:val="4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2556"/>
        <w:gridCol w:w="2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行业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研发经费支出占</w:t>
            </w:r>
          </w:p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营业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收入的比重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新产品销售收入占</w:t>
            </w:r>
          </w:p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营业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收入的比重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新产品销售利润占</w:t>
            </w:r>
          </w:p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利润总额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的比重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  <w:lang w:eastAsia="zh-CN"/>
              </w:rPr>
              <w:t>电子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轻工Ⅰ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轻工Ⅱ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化工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机械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医药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冶金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纺织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建材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有色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1.4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石化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</w:rPr>
              <w:t>软件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widowControl/>
        <w:snapToGrid w:val="0"/>
        <w:rPr>
          <w:rFonts w:hint="default" w:ascii="Times New Roman" w:hAnsi="Times New Roman" w:eastAsia="宋体" w:cs="Times New Roman"/>
          <w:b/>
          <w:kern w:val="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632" w:hangingChars="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21"/>
          <w:szCs w:val="21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由于不同行业在研发投入与产出方面存在较大差异，技术中心评价时，对不同行业企业“研发经费支出占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  <w:t>营业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收入的比重”、“新产品销售收入占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  <w:t>营业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收入的比重”、“新产品销售利润占利润总额的比重”三个指标引入行业系数加以调节。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企业填报数据表时无需考虑行业系数，按实际数据填报。评价时，根据企业填报的实际数据计算得出上述指标的比重，再乘以行业系数，得出指标的评价值。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val="en-US" w:eastAsia="zh-CN"/>
        </w:rPr>
        <w:t>3.轻工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Ⅰ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  <w:t>为家电行业，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轻工Ⅱ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  <w:t>为轻工的其他行业。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DE9A"/>
    <w:multiLevelType w:val="singleLevel"/>
    <w:tmpl w:val="0B62DE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4"/>
    <w:rsid w:val="000E6162"/>
    <w:rsid w:val="00226B68"/>
    <w:rsid w:val="00272D48"/>
    <w:rsid w:val="00505442"/>
    <w:rsid w:val="00557F64"/>
    <w:rsid w:val="005926FA"/>
    <w:rsid w:val="006E7810"/>
    <w:rsid w:val="006F4179"/>
    <w:rsid w:val="00773F9C"/>
    <w:rsid w:val="0098429B"/>
    <w:rsid w:val="00AE4F14"/>
    <w:rsid w:val="00B14A04"/>
    <w:rsid w:val="00E263B4"/>
    <w:rsid w:val="00E279A7"/>
    <w:rsid w:val="00E32194"/>
    <w:rsid w:val="00FE0230"/>
    <w:rsid w:val="0C577331"/>
    <w:rsid w:val="13592FF3"/>
    <w:rsid w:val="18995213"/>
    <w:rsid w:val="4A8A640A"/>
    <w:rsid w:val="51010D12"/>
    <w:rsid w:val="59E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2385</Words>
  <Characters>2511</Characters>
  <Lines>20</Lines>
  <Paragraphs>5</Paragraphs>
  <TotalTime>20</TotalTime>
  <ScaleCrop>false</ScaleCrop>
  <LinksUpToDate>false</LinksUpToDate>
  <CharactersWithSpaces>2521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2020-08-05T07:05:00Z</dcterms:created>
  <dc:creator>PC</dc:creator>
  <cp:lastModifiedBy>Administrator</cp:lastModifiedBy>
  <cp:lastPrinted>2021-05-10T08:15:00Z</cp:lastPrinted>
  <dcterms:modified xsi:type="dcterms:W3CDTF">2022-04-02T05:38:31Z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4A28C6B67FAF44C59AB41825873E11B2</vt:lpwstr>
  </property>
</Properties>
</file>