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7AE6F">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32"/>
          <w:szCs w:val="32"/>
        </w:rPr>
        <w:t>附件3</w:t>
      </w:r>
    </w:p>
    <w:p w14:paraId="31C25B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14:paraId="4FD8E885">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淮安市1小时工业配套服务圈推进方案</w:t>
      </w:r>
      <w:r>
        <w:rPr>
          <w:rFonts w:hint="eastAsia" w:ascii="方正小标宋_GBK" w:hAnsi="方正小标宋_GBK" w:eastAsia="方正小标宋_GBK" w:cs="方正小标宋_GBK"/>
          <w:sz w:val="44"/>
          <w:szCs w:val="44"/>
          <w:lang w:val="en-US" w:eastAsia="zh-CN"/>
        </w:rPr>
        <w:t>》</w:t>
      </w:r>
    </w:p>
    <w:p w14:paraId="49E0B35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起草情况</w:t>
      </w:r>
    </w:p>
    <w:p w14:paraId="14F1C976">
      <w:pPr>
        <w:keepNext w:val="0"/>
        <w:keepLines w:val="0"/>
        <w:pageBreakBefore w:val="0"/>
        <w:widowControl w:val="0"/>
        <w:kinsoku/>
        <w:wordWrap/>
        <w:overflowPunct/>
        <w:topLinePunct w:val="0"/>
        <w:autoSpaceDE/>
        <w:autoSpaceDN/>
        <w:bidi w:val="0"/>
        <w:snapToGrid/>
        <w:spacing w:line="560" w:lineRule="exact"/>
        <w:textAlignment w:val="auto"/>
        <w:rPr>
          <w:rFonts w:eastAsia="方正仿宋_GBK"/>
          <w:sz w:val="32"/>
          <w:szCs w:val="32"/>
        </w:rPr>
      </w:pPr>
    </w:p>
    <w:p w14:paraId="71BCB12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根据2025年1月14日顾坤市长在第九届人民代表大会第五次会议上所作的政府工作报告，以及淮安市第九届人民代表大会第五次会议《关于加快培育‘353’战略性新兴产业融合集群坚定不移走新型工业化道路的议案”的决议》</w:t>
      </w:r>
      <w:bookmarkStart w:id="0" w:name="_GoBack"/>
      <w:bookmarkEnd w:id="0"/>
      <w:r>
        <w:rPr>
          <w:rFonts w:hint="eastAsia" w:ascii="仿宋_GB2312" w:hAnsi="仿宋_GB2312" w:eastAsia="仿宋_GB2312" w:cs="仿宋_GB2312"/>
          <w:sz w:val="32"/>
          <w:szCs w:val="32"/>
          <w:lang w:val="en-US" w:eastAsia="zh-CN"/>
        </w:rPr>
        <w:t>相关内容，我局在深入调研的基础上，结合我市产业生态建设工作实际，牵头草拟了《淮安市1小时工业配套服务圈推进方案》（以下简称“推进方案</w:t>
      </w:r>
      <w:r>
        <w:rPr>
          <w:rFonts w:hint="eastAsia" w:ascii="Times New Roman" w:hAnsi="Times New Roman" w:eastAsia="仿宋_GB2312" w:cs="Times New Roman"/>
          <w:sz w:val="32"/>
          <w:szCs w:val="32"/>
          <w:lang w:val="en-US" w:eastAsia="zh-CN"/>
        </w:rPr>
        <w:t>”），征求了市领导、各县区园区、相关职能部门的意见。现将起草情况汇报如下：</w:t>
      </w:r>
    </w:p>
    <w:p w14:paraId="47B3D3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主要框架</w:t>
      </w:r>
    </w:p>
    <w:p w14:paraId="02F567A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cs="Times New Roman"/>
          <w:kern w:val="2"/>
          <w:sz w:val="32"/>
          <w:szCs w:val="32"/>
          <w:lang w:val="en-US" w:eastAsia="zh-CN" w:bidi="ar-SA"/>
        </w:rPr>
        <w:t>行动计划基本框架分为三个部分：</w:t>
      </w:r>
      <w:r>
        <w:rPr>
          <w:rFonts w:hint="eastAsia" w:ascii="黑体" w:hAnsi="黑体" w:eastAsia="黑体" w:cs="黑体"/>
          <w:kern w:val="2"/>
          <w:sz w:val="32"/>
          <w:szCs w:val="32"/>
          <w:lang w:val="en-US" w:eastAsia="zh-CN" w:bidi="ar-SA"/>
        </w:rPr>
        <w:t>第一部分</w:t>
      </w:r>
      <w:r>
        <w:rPr>
          <w:rFonts w:hint="eastAsia" w:ascii="Times New Roman" w:hAnsi="Times New Roman" w:cs="Times New Roman"/>
          <w:kern w:val="2"/>
          <w:sz w:val="32"/>
          <w:szCs w:val="32"/>
          <w:lang w:val="en-US" w:eastAsia="zh-CN" w:bidi="ar-SA"/>
        </w:rPr>
        <w:t>是</w:t>
      </w:r>
      <w:r>
        <w:rPr>
          <w:rFonts w:hint="eastAsia" w:ascii="仿宋_GB2312" w:hAnsi="仿宋_GB2312" w:eastAsia="仿宋_GB2312" w:cs="仿宋_GB2312"/>
          <w:kern w:val="2"/>
          <w:sz w:val="32"/>
          <w:szCs w:val="32"/>
          <w:lang w:val="en-US" w:eastAsia="zh-CN" w:bidi="ar-SA"/>
        </w:rPr>
        <w:t>优化产业布局</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畅通</w:t>
      </w:r>
      <w:r>
        <w:rPr>
          <w:rFonts w:hint="default" w:ascii="仿宋_GB2312" w:hAnsi="仿宋_GB2312" w:eastAsia="仿宋_GB2312" w:cs="仿宋_GB2312"/>
          <w:kern w:val="2"/>
          <w:sz w:val="32"/>
          <w:szCs w:val="32"/>
          <w:lang w:val="en-US" w:eastAsia="zh-CN" w:bidi="ar-SA"/>
        </w:rPr>
        <w:t>产业链供应链循环</w:t>
      </w:r>
      <w:r>
        <w:rPr>
          <w:rFonts w:hint="eastAsia" w:ascii="仿宋_GB2312" w:hAnsi="仿宋_GB2312" w:eastAsia="仿宋_GB2312" w:cs="仿宋_GB2312"/>
          <w:kern w:val="2"/>
          <w:sz w:val="32"/>
          <w:szCs w:val="32"/>
          <w:lang w:val="en-US" w:eastAsia="zh-CN" w:bidi="ar-SA"/>
        </w:rPr>
        <w:t>。提出</w:t>
      </w:r>
      <w:r>
        <w:rPr>
          <w:rFonts w:hint="default" w:ascii="Times New Roman" w:hAnsi="Times New Roman" w:eastAsia="方正仿宋_GBK" w:cs="Times New Roman"/>
          <w:color w:val="auto"/>
          <w:sz w:val="32"/>
          <w:szCs w:val="32"/>
          <w:highlight w:val="none"/>
          <w:lang w:val="en-US" w:eastAsia="zh-CN"/>
        </w:rPr>
        <w:t>聚焦“353”战略性新兴产业集群，</w:t>
      </w:r>
      <w:r>
        <w:rPr>
          <w:rFonts w:hint="default" w:ascii="仿宋_GB2312" w:hAnsi="仿宋_GB2312" w:eastAsia="仿宋_GB2312" w:cs="仿宋_GB2312"/>
          <w:kern w:val="2"/>
          <w:sz w:val="32"/>
          <w:szCs w:val="32"/>
          <w:lang w:val="en-US" w:eastAsia="zh-CN" w:bidi="ar-SA"/>
        </w:rPr>
        <w:t>科学制定产业发展规划</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加大优质产业项目</w:t>
      </w:r>
      <w:r>
        <w:rPr>
          <w:rFonts w:hint="eastAsia" w:ascii="仿宋_GB2312" w:hAnsi="仿宋_GB2312" w:eastAsia="仿宋_GB2312" w:cs="仿宋_GB2312"/>
          <w:kern w:val="2"/>
          <w:sz w:val="32"/>
          <w:szCs w:val="32"/>
          <w:lang w:val="en-US" w:eastAsia="zh-CN" w:bidi="ar-SA"/>
        </w:rPr>
        <w:t>引进，</w:t>
      </w:r>
      <w:r>
        <w:rPr>
          <w:rFonts w:hint="default" w:ascii="仿宋_GB2312" w:hAnsi="仿宋_GB2312" w:eastAsia="仿宋_GB2312" w:cs="仿宋_GB2312"/>
          <w:kern w:val="2"/>
          <w:sz w:val="32"/>
          <w:szCs w:val="32"/>
          <w:lang w:val="en-US" w:eastAsia="zh-CN" w:bidi="ar-SA"/>
        </w:rPr>
        <w:t>持续开展供需对接活动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加大新技术新产品推广应用</w:t>
      </w:r>
      <w:r>
        <w:rPr>
          <w:rFonts w:hint="eastAsia" w:ascii="仿宋_GB2312" w:hAnsi="仿宋_GB2312" w:eastAsia="仿宋_GB2312" w:cs="仿宋_GB2312"/>
          <w:kern w:val="2"/>
          <w:sz w:val="32"/>
          <w:szCs w:val="32"/>
          <w:lang w:val="en-US" w:eastAsia="zh-CN" w:bidi="ar-SA"/>
        </w:rPr>
        <w:t>，深化</w:t>
      </w:r>
      <w:r>
        <w:rPr>
          <w:rFonts w:hint="default" w:ascii="仿宋_GB2312" w:hAnsi="仿宋_GB2312" w:eastAsia="仿宋_GB2312" w:cs="仿宋_GB2312"/>
          <w:kern w:val="2"/>
          <w:sz w:val="32"/>
          <w:szCs w:val="32"/>
          <w:lang w:val="en-US" w:eastAsia="zh-CN" w:bidi="ar-SA"/>
        </w:rPr>
        <w:t>区域产业</w:t>
      </w:r>
      <w:r>
        <w:rPr>
          <w:rFonts w:hint="eastAsia" w:ascii="仿宋_GB2312" w:hAnsi="仿宋_GB2312" w:eastAsia="仿宋_GB2312" w:cs="仿宋_GB2312"/>
          <w:kern w:val="2"/>
          <w:sz w:val="32"/>
          <w:szCs w:val="32"/>
          <w:lang w:val="en-US" w:eastAsia="zh-CN" w:bidi="ar-SA"/>
        </w:rPr>
        <w:t>协作</w:t>
      </w:r>
      <w:r>
        <w:rPr>
          <w:rFonts w:hint="default" w:ascii="仿宋_GB2312" w:hAnsi="仿宋_GB2312" w:eastAsia="仿宋_GB2312" w:cs="仿宋_GB2312"/>
          <w:kern w:val="2"/>
          <w:sz w:val="32"/>
          <w:szCs w:val="32"/>
          <w:lang w:val="en-US" w:eastAsia="zh-CN" w:bidi="ar-SA"/>
        </w:rPr>
        <w:t>交流</w:t>
      </w:r>
      <w:r>
        <w:rPr>
          <w:rFonts w:hint="eastAsia" w:ascii="仿宋_GB2312" w:hAnsi="仿宋_GB2312" w:eastAsia="仿宋_GB2312" w:cs="仿宋_GB2312"/>
          <w:kern w:val="2"/>
          <w:sz w:val="32"/>
          <w:szCs w:val="32"/>
          <w:lang w:val="en-US" w:eastAsia="zh-CN" w:bidi="ar-SA"/>
        </w:rPr>
        <w:t>。</w:t>
      </w:r>
      <w:r>
        <w:rPr>
          <w:rFonts w:hint="eastAsia" w:ascii="黑体" w:hAnsi="黑体" w:eastAsia="黑体" w:cs="黑体"/>
          <w:kern w:val="2"/>
          <w:sz w:val="32"/>
          <w:szCs w:val="32"/>
          <w:lang w:val="en-US" w:eastAsia="zh-CN" w:bidi="ar-SA"/>
        </w:rPr>
        <w:t>第二部分</w:t>
      </w:r>
      <w:r>
        <w:rPr>
          <w:rFonts w:hint="eastAsia" w:ascii="Times New Roman" w:hAnsi="Times New Roman" w:cs="Times New Roman"/>
          <w:kern w:val="2"/>
          <w:sz w:val="32"/>
          <w:szCs w:val="32"/>
          <w:lang w:val="en-US" w:eastAsia="zh-CN" w:bidi="ar-SA"/>
        </w:rPr>
        <w:t>是</w:t>
      </w:r>
      <w:r>
        <w:rPr>
          <w:rFonts w:hint="eastAsia" w:ascii="仿宋_GB2312" w:hAnsi="仿宋_GB2312" w:eastAsia="仿宋_GB2312" w:cs="仿宋_GB2312"/>
          <w:kern w:val="2"/>
          <w:sz w:val="32"/>
          <w:szCs w:val="32"/>
          <w:lang w:val="en-US" w:eastAsia="zh-CN" w:bidi="ar-SA"/>
        </w:rPr>
        <w:t>完善</w:t>
      </w:r>
      <w:r>
        <w:rPr>
          <w:rFonts w:hint="default" w:ascii="仿宋_GB2312" w:hAnsi="仿宋_GB2312" w:eastAsia="仿宋_GB2312" w:cs="仿宋_GB2312"/>
          <w:kern w:val="2"/>
          <w:sz w:val="32"/>
          <w:szCs w:val="32"/>
          <w:lang w:val="en-US" w:eastAsia="zh-CN" w:bidi="ar-SA"/>
        </w:rPr>
        <w:t>保障体系，优化产业发展生态</w:t>
      </w:r>
      <w:r>
        <w:rPr>
          <w:rFonts w:hint="eastAsia" w:ascii="仿宋_GB2312" w:hAnsi="仿宋_GB2312" w:eastAsia="仿宋_GB2312" w:cs="仿宋_GB2312"/>
          <w:kern w:val="2"/>
          <w:sz w:val="32"/>
          <w:szCs w:val="32"/>
          <w:lang w:val="en-US" w:eastAsia="zh-CN" w:bidi="ar-SA"/>
        </w:rPr>
        <w:t>。结合“十五五”产业发展规划，统筹升级能源、交通物流、现代生产性服务业等</w:t>
      </w:r>
      <w:r>
        <w:rPr>
          <w:rFonts w:hint="default" w:ascii="仿宋_GB2312" w:hAnsi="仿宋_GB2312" w:eastAsia="仿宋_GB2312" w:cs="仿宋_GB2312"/>
          <w:kern w:val="2"/>
          <w:sz w:val="32"/>
          <w:szCs w:val="32"/>
          <w:lang w:val="en-US" w:eastAsia="zh-CN" w:bidi="ar-SA"/>
        </w:rPr>
        <w:t>公共基础服务配套</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提升产业加工配套</w:t>
      </w:r>
      <w:r>
        <w:rPr>
          <w:rFonts w:hint="eastAsia" w:ascii="仿宋_GB2312" w:hAnsi="仿宋_GB2312" w:eastAsia="仿宋_GB2312" w:cs="仿宋_GB2312"/>
          <w:kern w:val="2"/>
          <w:sz w:val="32"/>
          <w:szCs w:val="32"/>
          <w:lang w:val="en-US" w:eastAsia="zh-CN" w:bidi="ar-SA"/>
        </w:rPr>
        <w:t>能力，</w:t>
      </w:r>
      <w:r>
        <w:rPr>
          <w:rFonts w:hint="default" w:ascii="仿宋_GB2312" w:hAnsi="仿宋_GB2312" w:eastAsia="仿宋_GB2312" w:cs="仿宋_GB2312"/>
          <w:kern w:val="2"/>
          <w:sz w:val="32"/>
          <w:szCs w:val="32"/>
          <w:lang w:val="en-US" w:eastAsia="zh-CN" w:bidi="ar-SA"/>
        </w:rPr>
        <w:t>强化产业人才</w:t>
      </w:r>
      <w:r>
        <w:rPr>
          <w:rFonts w:hint="eastAsia" w:ascii="仿宋_GB2312" w:hAnsi="仿宋_GB2312" w:eastAsia="仿宋_GB2312" w:cs="仿宋_GB2312"/>
          <w:kern w:val="2"/>
          <w:sz w:val="32"/>
          <w:szCs w:val="32"/>
          <w:lang w:val="en-US" w:eastAsia="zh-CN" w:bidi="ar-SA"/>
        </w:rPr>
        <w:t>供给</w:t>
      </w:r>
      <w:r>
        <w:rPr>
          <w:rFonts w:hint="default" w:ascii="仿宋_GB2312" w:hAnsi="仿宋_GB2312" w:eastAsia="仿宋_GB2312" w:cs="仿宋_GB2312"/>
          <w:kern w:val="2"/>
          <w:sz w:val="32"/>
          <w:szCs w:val="32"/>
          <w:lang w:val="en-US" w:eastAsia="zh-CN" w:bidi="ar-SA"/>
        </w:rPr>
        <w:t>服务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促进创新资源</w:t>
      </w:r>
      <w:r>
        <w:rPr>
          <w:rFonts w:hint="eastAsia" w:ascii="仿宋_GB2312" w:hAnsi="仿宋_GB2312" w:eastAsia="仿宋_GB2312" w:cs="仿宋_GB2312"/>
          <w:kern w:val="2"/>
          <w:sz w:val="32"/>
          <w:szCs w:val="32"/>
          <w:lang w:val="en-US" w:eastAsia="zh-CN" w:bidi="ar-SA"/>
        </w:rPr>
        <w:t>高效</w:t>
      </w:r>
      <w:r>
        <w:rPr>
          <w:rFonts w:hint="default" w:ascii="仿宋_GB2312" w:hAnsi="仿宋_GB2312" w:eastAsia="仿宋_GB2312" w:cs="仿宋_GB2312"/>
          <w:kern w:val="2"/>
          <w:sz w:val="32"/>
          <w:szCs w:val="32"/>
          <w:lang w:val="en-US" w:eastAsia="zh-CN" w:bidi="ar-SA"/>
        </w:rPr>
        <w:t>对接</w:t>
      </w:r>
      <w:r>
        <w:rPr>
          <w:rFonts w:hint="eastAsia" w:ascii="仿宋_GB2312" w:hAnsi="仿宋_GB2312" w:eastAsia="仿宋_GB2312" w:cs="仿宋_GB2312"/>
          <w:kern w:val="2"/>
          <w:sz w:val="32"/>
          <w:szCs w:val="32"/>
          <w:lang w:val="en-US" w:eastAsia="zh-CN" w:bidi="ar-SA"/>
        </w:rPr>
        <w:t>。</w:t>
      </w:r>
      <w:r>
        <w:rPr>
          <w:rFonts w:hint="eastAsia" w:ascii="黑体" w:hAnsi="黑体" w:eastAsia="黑体" w:cs="黑体"/>
          <w:kern w:val="2"/>
          <w:sz w:val="32"/>
          <w:szCs w:val="32"/>
          <w:lang w:val="en-US" w:eastAsia="zh-CN" w:bidi="ar-SA"/>
        </w:rPr>
        <w:t>第三部分</w:t>
      </w:r>
      <w:r>
        <w:rPr>
          <w:rFonts w:hint="eastAsia" w:ascii="仿宋_GB2312" w:hAnsi="仿宋_GB2312" w:eastAsia="仿宋_GB2312" w:cs="仿宋_GB2312"/>
          <w:kern w:val="2"/>
          <w:sz w:val="32"/>
          <w:szCs w:val="32"/>
          <w:lang w:val="en-US" w:eastAsia="zh-CN" w:bidi="ar-SA"/>
        </w:rPr>
        <w:t>是</w:t>
      </w:r>
      <w:r>
        <w:rPr>
          <w:rFonts w:hint="default" w:ascii="仿宋_GB2312" w:hAnsi="仿宋_GB2312" w:eastAsia="仿宋_GB2312" w:cs="仿宋_GB2312"/>
          <w:kern w:val="2"/>
          <w:sz w:val="32"/>
          <w:szCs w:val="32"/>
          <w:lang w:val="en-US" w:eastAsia="zh-CN" w:bidi="ar-SA"/>
        </w:rPr>
        <w:t>强化数字赋能，</w:t>
      </w:r>
      <w:r>
        <w:rPr>
          <w:rFonts w:hint="eastAsia" w:ascii="仿宋_GB2312" w:hAnsi="仿宋_GB2312" w:eastAsia="仿宋_GB2312" w:cs="仿宋_GB2312"/>
          <w:kern w:val="2"/>
          <w:sz w:val="32"/>
          <w:szCs w:val="32"/>
          <w:lang w:val="en-US" w:eastAsia="zh-CN" w:bidi="ar-SA"/>
        </w:rPr>
        <w:t>构建线上协同平台。</w:t>
      </w:r>
      <w:r>
        <w:rPr>
          <w:rFonts w:hint="default" w:ascii="仿宋_GB2312" w:hAnsi="仿宋_GB2312" w:eastAsia="仿宋_GB2312" w:cs="仿宋_GB2312"/>
          <w:kern w:val="2"/>
          <w:sz w:val="32"/>
          <w:szCs w:val="32"/>
          <w:lang w:val="en-US" w:eastAsia="zh-CN" w:bidi="ar-SA"/>
        </w:rPr>
        <w:t>升级工业网络基础设施</w:t>
      </w:r>
      <w:r>
        <w:rPr>
          <w:rFonts w:hint="eastAsia" w:ascii="仿宋_GB2312" w:hAnsi="仿宋_GB2312" w:eastAsia="仿宋_GB2312" w:cs="仿宋_GB2312"/>
          <w:kern w:val="2"/>
          <w:sz w:val="32"/>
          <w:szCs w:val="32"/>
          <w:lang w:val="en-US" w:eastAsia="zh-CN" w:bidi="ar-SA"/>
        </w:rPr>
        <w:t>和算力服务设施，</w:t>
      </w:r>
      <w:r>
        <w:rPr>
          <w:rFonts w:hint="default" w:ascii="仿宋_GB2312" w:hAnsi="仿宋_GB2312" w:eastAsia="仿宋_GB2312" w:cs="仿宋_GB2312"/>
          <w:kern w:val="2"/>
          <w:sz w:val="32"/>
          <w:szCs w:val="32"/>
          <w:lang w:val="en-US" w:eastAsia="zh-CN" w:bidi="ar-SA"/>
        </w:rPr>
        <w:t>打通产业发展“数字大动脉”</w:t>
      </w:r>
      <w:r>
        <w:rPr>
          <w:rFonts w:hint="eastAsia" w:ascii="仿宋_GB2312" w:hAnsi="仿宋_GB2312" w:eastAsia="仿宋_GB2312" w:cs="仿宋_GB2312"/>
          <w:kern w:val="2"/>
          <w:sz w:val="32"/>
          <w:szCs w:val="32"/>
          <w:lang w:val="en-US" w:eastAsia="zh-CN" w:bidi="ar-SA"/>
        </w:rPr>
        <w:t>，完善</w:t>
      </w:r>
      <w:r>
        <w:rPr>
          <w:rFonts w:hint="default" w:ascii="仿宋_GB2312" w:hAnsi="仿宋_GB2312" w:eastAsia="仿宋_GB2312" w:cs="仿宋_GB2312"/>
          <w:kern w:val="2"/>
          <w:sz w:val="32"/>
          <w:szCs w:val="32"/>
          <w:lang w:val="en-US" w:eastAsia="zh-CN" w:bidi="ar-SA"/>
        </w:rPr>
        <w:t>工业互联网平台生态</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实施电商赋能发展行动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大力发展智慧交通和智慧物流</w:t>
      </w:r>
      <w:r>
        <w:rPr>
          <w:rFonts w:hint="eastAsia" w:ascii="仿宋_GB2312" w:hAnsi="仿宋_GB2312" w:eastAsia="仿宋_GB2312" w:cs="仿宋_GB2312"/>
          <w:kern w:val="2"/>
          <w:sz w:val="32"/>
          <w:szCs w:val="32"/>
          <w:lang w:val="en-US" w:eastAsia="zh-CN" w:bidi="ar-SA"/>
        </w:rPr>
        <w:t>。</w:t>
      </w:r>
    </w:p>
    <w:p w14:paraId="561C4B9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主要特点</w:t>
      </w:r>
    </w:p>
    <w:p w14:paraId="5A19F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一、目标导向明确，紧扣战略部署。</w:t>
      </w:r>
      <w:r>
        <w:rPr>
          <w:rFonts w:hint="eastAsia" w:ascii="仿宋_GB2312" w:hAnsi="仿宋_GB2312" w:eastAsia="仿宋_GB2312" w:cs="仿宋_GB2312"/>
          <w:kern w:val="2"/>
          <w:sz w:val="32"/>
          <w:szCs w:val="32"/>
          <w:lang w:val="en-US" w:eastAsia="zh-CN" w:bidi="ar-SA"/>
        </w:rPr>
        <w:t>以打造“1小时工业配套服务圈”为核心目标，紧密围绕中央及省、市关于构建现代化产业体系的决策部署，</w:t>
      </w:r>
      <w:r>
        <w:rPr>
          <w:rFonts w:hint="default" w:ascii="Times New Roman" w:hAnsi="Times New Roman" w:eastAsia="方正仿宋_GBK" w:cs="Times New Roman"/>
          <w:spacing w:val="0"/>
          <w:sz w:val="32"/>
          <w:szCs w:val="32"/>
          <w:highlight w:val="none"/>
          <w:u w:val="none"/>
          <w:lang w:val="en-US" w:eastAsia="zh-CN"/>
        </w:rPr>
        <w:t>抢抓省委</w:t>
      </w:r>
      <w:r>
        <w:rPr>
          <w:rFonts w:hint="default" w:ascii="Times New Roman" w:hAnsi="Times New Roman" w:eastAsia="方正仿宋_GBK" w:cs="Times New Roman"/>
          <w:spacing w:val="0"/>
          <w:sz w:val="32"/>
          <w:szCs w:val="32"/>
          <w:highlight w:val="none"/>
          <w:u w:val="none"/>
        </w:rPr>
        <w:t>支持淮安利用综合交通优势高质量发展枢纽经济的重大机遇</w:t>
      </w:r>
      <w:r>
        <w:rPr>
          <w:rFonts w:hint="default" w:ascii="Times New Roman" w:hAnsi="Times New Roman" w:eastAsia="方正仿宋_GBK" w:cs="Times New Roman"/>
          <w:spacing w:val="0"/>
          <w:sz w:val="32"/>
          <w:szCs w:val="32"/>
          <w:highlight w:val="none"/>
          <w:u w:val="none"/>
          <w:lang w:eastAsia="zh-CN"/>
        </w:rPr>
        <w:t>，</w:t>
      </w:r>
      <w:r>
        <w:rPr>
          <w:rFonts w:hint="default" w:ascii="Times New Roman" w:hAnsi="Times New Roman" w:eastAsia="方正仿宋_GBK" w:cs="Times New Roman"/>
          <w:color w:val="auto"/>
          <w:sz w:val="32"/>
          <w:szCs w:val="32"/>
          <w:highlight w:val="none"/>
          <w:lang w:val="en-US" w:eastAsia="zh-CN"/>
        </w:rPr>
        <w:t>聚焦</w:t>
      </w:r>
      <w:r>
        <w:rPr>
          <w:rFonts w:hint="eastAsia" w:ascii="Times New Roman" w:hAnsi="Times New Roman" w:eastAsia="方正仿宋_GBK" w:cs="Times New Roman"/>
          <w:color w:val="auto"/>
          <w:sz w:val="32"/>
          <w:szCs w:val="32"/>
          <w:highlight w:val="none"/>
          <w:lang w:val="en-US" w:eastAsia="zh-CN"/>
        </w:rPr>
        <w:t>全市</w:t>
      </w:r>
      <w:r>
        <w:rPr>
          <w:rFonts w:hint="default" w:ascii="Times New Roman" w:hAnsi="Times New Roman" w:eastAsia="方正仿宋_GBK" w:cs="Times New Roman"/>
          <w:color w:val="auto"/>
          <w:sz w:val="32"/>
          <w:szCs w:val="32"/>
          <w:highlight w:val="none"/>
          <w:lang w:val="en-US" w:eastAsia="zh-CN"/>
        </w:rPr>
        <w:t>“353”战略性新兴产业集群</w:t>
      </w:r>
      <w:r>
        <w:rPr>
          <w:rFonts w:hint="eastAsia" w:ascii="仿宋_GB2312" w:hAnsi="仿宋_GB2312" w:eastAsia="仿宋_GB2312" w:cs="仿宋_GB2312"/>
          <w:kern w:val="2"/>
          <w:sz w:val="32"/>
          <w:szCs w:val="32"/>
          <w:lang w:val="en-US" w:eastAsia="zh-CN" w:bidi="ar-SA"/>
        </w:rPr>
        <w:t>发展定位，全力强链补链延链，构建优良产业生态，将方案内容与区域发展战略深度融合，确保各项举措有明确的方向指引。</w:t>
      </w:r>
    </w:p>
    <w:p w14:paraId="42985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二、内容全面系统，覆盖全链条发展。</w:t>
      </w:r>
      <w:r>
        <w:rPr>
          <w:rFonts w:hint="eastAsia" w:ascii="仿宋_GB2312" w:hAnsi="仿宋_GB2312" w:eastAsia="仿宋_GB2312" w:cs="仿宋_GB2312"/>
          <w:kern w:val="2"/>
          <w:sz w:val="32"/>
          <w:szCs w:val="32"/>
          <w:lang w:val="en-US" w:eastAsia="zh-CN" w:bidi="ar-SA"/>
        </w:rPr>
        <w:t>从产业布局优化到保障体系完善，再到数字赋能平台构建，涵盖了工业配套服务圈建设的多个关键维度。产业布局方面，涉及规划制定、项目引进、供需对接、技术推广、区域协作等产业链上下游协同发展的重要环节；保障体系方面，包括公共基础服务、加工配套能力、人才供给、创新资源对接等产业发展生态的关键支撑；数字赋能方面，聚焦工业网络升级、互联网平台建设、电商赋能、智慧交通物流等数字化转型重点领域，形成了全方位的推进体系。</w:t>
      </w:r>
    </w:p>
    <w:p w14:paraId="7F2B4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三、突出协同联动，强化多方参与。</w:t>
      </w:r>
      <w:r>
        <w:rPr>
          <w:rFonts w:hint="eastAsia" w:ascii="仿宋_GB2312" w:hAnsi="仿宋_GB2312" w:eastAsia="仿宋_GB2312" w:cs="仿宋_GB2312"/>
          <w:kern w:val="2"/>
          <w:sz w:val="32"/>
          <w:szCs w:val="32"/>
          <w:lang w:val="en-US" w:eastAsia="zh-CN" w:bidi="ar-SA"/>
        </w:rPr>
        <w:t>强调产业链上下游的协同发展，鼓励链主企业发挥引领作用，联合组建公共服务平台与创新联合体，推动中小微企业围绕链主企业提升配套能力，构建融通发展的良好生态。注重区域协作，积极融入长三角产业分工和全省“1650”产业体系，加强与重点城市的产业配套对接，同时明确各部门、各县区（园区）的责任分工，全面优化产业发展生态和支持体系，形成跨区域、跨部门的协同推进机制。</w:t>
      </w:r>
    </w:p>
    <w:p w14:paraId="6022779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下一步工作</w:t>
      </w:r>
    </w:p>
    <w:p w14:paraId="7FC686A6">
      <w:pPr>
        <w:pStyle w:val="3"/>
        <w:keepNext w:val="0"/>
        <w:keepLines w:val="0"/>
        <w:pageBreakBefore w:val="0"/>
        <w:widowControl w:val="0"/>
        <w:kinsoku/>
        <w:wordWrap/>
        <w:overflowPunct/>
        <w:topLinePunct w:val="0"/>
        <w:autoSpaceDE/>
        <w:autoSpaceDN/>
        <w:bidi w:val="0"/>
        <w:snapToGrid/>
        <w:spacing w:after="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《推进方案》经市政府常务会通过后，提请以市政府办公室文件印发。</w:t>
      </w:r>
    </w:p>
    <w:p w14:paraId="160645BF">
      <w:pPr>
        <w:pStyle w:val="3"/>
        <w:keepNext w:val="0"/>
        <w:keepLines w:val="0"/>
        <w:pageBreakBefore w:val="0"/>
        <w:widowControl w:val="0"/>
        <w:kinsoku/>
        <w:wordWrap/>
        <w:overflowPunct/>
        <w:topLinePunct w:val="0"/>
        <w:autoSpaceDE/>
        <w:autoSpaceDN/>
        <w:bidi w:val="0"/>
        <w:snapToGrid/>
        <w:spacing w:after="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p>
    <w:p w14:paraId="560FBFEE">
      <w:pPr>
        <w:keepNext w:val="0"/>
        <w:keepLines w:val="0"/>
        <w:pageBreakBefore w:val="0"/>
        <w:widowControl w:val="0"/>
        <w:kinsoku/>
        <w:wordWrap/>
        <w:overflowPunct/>
        <w:topLinePunct w:val="0"/>
        <w:autoSpaceDE/>
        <w:autoSpaceDN/>
        <w:bidi w:val="0"/>
        <w:snapToGrid/>
        <w:spacing w:line="560" w:lineRule="exact"/>
        <w:textAlignment w:val="auto"/>
      </w:pPr>
    </w:p>
    <w:sectPr>
      <w:footerReference r:id="rId3" w:type="default"/>
      <w:pgSz w:w="11906" w:h="16838"/>
      <w:pgMar w:top="2098" w:right="1474" w:bottom="1984" w:left="1587" w:header="851" w:footer="992" w:gutter="0"/>
      <w:cols w:space="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D4F8">
    <w:pPr>
      <w:pStyle w:val="4"/>
      <w:tabs>
        <w:tab w:val="clear" w:pos="4153"/>
      </w:tabs>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0325" cy="155575"/>
              <wp:effectExtent l="0" t="0" r="0" b="0"/>
              <wp:wrapNone/>
              <wp:docPr id="1" name="文本框 1"/>
              <wp:cNvGraphicFramePr/>
              <a:graphic xmlns:a="http://schemas.openxmlformats.org/drawingml/2006/main">
                <a:graphicData uri="http://schemas.microsoft.com/office/word/2010/wordprocessingShape">
                  <wps:wsp>
                    <wps:cNvSpPr/>
                    <wps:spPr>
                      <a:xfrm>
                        <a:off x="0" y="0"/>
                        <a:ext cx="60236" cy="155296"/>
                      </a:xfrm>
                      <a:prstGeom prst="rect">
                        <a:avLst/>
                      </a:prstGeom>
                      <a:noFill/>
                      <a:ln w="6350" cap="flat" cmpd="sng">
                        <a:noFill/>
                        <a:prstDash val="solid"/>
                        <a:round/>
                      </a:ln>
                      <a:effectLst/>
                    </wps:spPr>
                    <wps:txbx>
                      <w:txbxContent>
                        <w:p w14:paraId="178EB86A">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2.25pt;width:4.75pt;mso-position-horizontal:center;mso-position-horizontal-relative:margin;mso-wrap-style:none;z-index:251659264;mso-width-relative:page;mso-height-relative:page;" filled="f" stroked="f" coordsize="21600,21600" o:gfxdata="UEsDBAoAAAAAAIdO4kAAAAAAAAAAAAAAAAAEAAAAZHJzL1BLAwQUAAAACACHTuJAIDQfxtYAAAAC&#10;AQAADwAAAGRycy9kb3ducmV2LnhtbE2PQUvEMBCF74L/IYzgZXGTLa5obboHRQXRg3URvGWb2aZs&#10;M6lNtl399Y5e9DLweI/3vilWB9+JEYfYBtKwmCsQSHWwLTUa1q93Z5cgYjJkTRcINXxihFV5fFSY&#10;3IaJXnCsUiO4hGJuNLiU+lzKWDv0Js5Dj8TeNgzeJJZDI+1gJi73ncyUupDetMQLzvR447DeVXuv&#10;4en2/v1t5h5V9vw124apWo8fDzutT08W6hpEwkP6C8MPPqNDyUybsCcbRaeBH0m/l72rJYiNhux8&#10;CbIs5H/08htQSwMEFAAAAAgAh07iQBQKhNIHAgAAAQQAAA4AAABkcnMvZTJvRG9jLnhtbK1TS44T&#10;MRDdI3EHy3vSnYwSQSudESIahIRgpIEDOG532pJ/qnLSHQ4AN2DFhj3nyjkou/MZDZtZsOku2+VX&#10;9V49L28Ha9heAWrvaj6dlJwpJ32j3bbmX7/cvXrNGUbhGmG8UzU/KOS3q5cvln2o1Mx33jQKGIE4&#10;rPpQ8y7GUBUFyk5ZgRMflKPD1oMVkZawLRoQPaFbU8zKclH0HpoAXipE2l2Ph/yECM8B9G2rpVp7&#10;ubPKxREVlBGRKGGnA/JV7rZtlYyf2xZVZKbmxDTmLxWheJO+xWopqi2I0Gl5akE8p4UnnKzQjope&#10;oNYiCrYD/Q+U1RI8+jZOpLfFSCQrQiym5RNtHjoRVOZCUmO4iI7/D1Z+2t8D0w05gTMnLA38+PPH&#10;8def4+/vbJrk6QNWlPUQ7uG0QgoT16EFm/7Egg1Z0sNFUjVEJmlzUc5uFpxJOpnO57M3iwRZXO8G&#10;wPheectSUHOggWUdxf4jxjH1nJJKOX+njaF9URnHesK/mdMopSAjtmQACm0gMui2GeZRfoJZC+zY&#10;XpAX0BvdjNMHv3PNWMq4hKyyb071E/2RcIrisBkoNYUb3xxIOnpJ1Hfn4RtnPfmo5o6eDWfmg6Mx&#10;JcudAzgHm3MgnKSLNae2x/BdHK25C6C3HeGWmQWGt7tIzLMg19okZFqQM7KkJxcn6z1e56zry13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A0H8bWAAAAAgEAAA8AAAAAAAAAAQAgAAAAIgAAAGRy&#10;cy9kb3ducmV2LnhtbFBLAQIUABQAAAAIAIdO4kAUCoTSBwIAAAEEAAAOAAAAAAAAAAEAIAAAACUB&#10;AABkcnMvZTJvRG9jLnhtbFBLBQYAAAAABgAGAFkBAACeBQAAAAA=&#10;">
              <v:fill on="f" focussize="0,0"/>
              <v:stroke on="f" weight="0.5pt" joinstyle="round"/>
              <v:imagedata o:title=""/>
              <o:lock v:ext="edit" aspectratio="f"/>
              <v:textbox inset="0mm,0mm,0mm,0mm" style="mso-fit-shape-to-text:t;">
                <w:txbxContent>
                  <w:p w14:paraId="178EB86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87386"/>
    <w:multiLevelType w:val="singleLevel"/>
    <w:tmpl w:val="A10873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21E41"/>
    <w:rsid w:val="245C7BF4"/>
    <w:rsid w:val="47D539D3"/>
    <w:rsid w:val="4915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ind w:left="120"/>
    </w:pPr>
    <w:rPr>
      <w:rFonts w:ascii="方正仿宋_GBK" w:eastAsia="方正仿宋_GBK" w:cs="方正仿宋_GBK" w:hAnsiTheme="minorHAnsi"/>
      <w:sz w:val="32"/>
      <w:szCs w:val="32"/>
      <w:lang w:val="zh-CN"/>
    </w:rPr>
  </w:style>
  <w:style w:type="paragraph" w:styleId="3">
    <w:name w:val="Body Text Indent"/>
    <w:basedOn w:val="1"/>
    <w:qFormat/>
    <w:uiPriority w:val="0"/>
    <w:pPr>
      <w:spacing w:after="120"/>
      <w:ind w:left="200" w:leftChars="200"/>
    </w:pPr>
    <w:rPr>
      <w:rFonts w:asciiTheme="minorHAnsi" w:hAnsiTheme="minorHAnsi" w:eastAsiaTheme="minorEastAsia" w:cstheme="minorBidi"/>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1140</Words>
  <Characters>1157</Characters>
  <Lines>0</Lines>
  <Paragraphs>0</Paragraphs>
  <TotalTime>0</TotalTime>
  <ScaleCrop>false</ScaleCrop>
  <LinksUpToDate>false</LinksUpToDate>
  <CharactersWithSpaces>1157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2025-07-18T07:04:00Z</dcterms:created>
  <dc:creator>Administrator</dc:creator>
  <cp:lastModifiedBy>刘小明</cp:lastModifiedBy>
  <dcterms:modified xsi:type="dcterms:W3CDTF">2025-08-08T08:21:50Z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eyJoZGlkIjoiMGIwZjBhMWViNmM0NWQxYTU3ZTg1Nzc1OTQ1YmZhMzYiLCJ1c2VySWQiOiI0NDUyMzM4MjYifQ==</vt:lpwstr>
  </property>
  <property fmtid="{D5CDD505-2E9C-101B-9397-08002B2CF9AE}" pid="4" name="ICV">
    <vt:lpwstr>11B4211B23EE4011A2DBC6EF9112AB78_12</vt:lpwstr>
  </property>
</Properties>
</file>